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B5" w:rsidRPr="00001D67" w:rsidRDefault="00D406B5" w:rsidP="00D406B5">
      <w:pPr>
        <w:rPr>
          <w:rFonts w:ascii="標楷體" w:eastAsia="標楷體" w:hAnsi="標楷體"/>
          <w:color w:val="FF0000"/>
        </w:rPr>
      </w:pPr>
      <w:r w:rsidRPr="00001D67">
        <w:rPr>
          <w:rFonts w:ascii="標楷體" w:eastAsia="標楷體" w:hAnsi="標楷體" w:hint="eastAsia"/>
          <w:sz w:val="28"/>
          <w:szCs w:val="28"/>
        </w:rPr>
        <w:t>【附件五】</w:t>
      </w:r>
    </w:p>
    <w:p w:rsidR="00D406B5" w:rsidRPr="00001D67" w:rsidRDefault="00D406B5" w:rsidP="00D406B5">
      <w:pPr>
        <w:pStyle w:val="a3"/>
        <w:kinsoku w:val="0"/>
        <w:overflowPunct w:val="0"/>
        <w:snapToGrid w:val="0"/>
        <w:spacing w:line="240" w:lineRule="atLeast"/>
        <w:ind w:left="425" w:right="431"/>
        <w:rPr>
          <w:rFonts w:ascii="標楷體" w:eastAsia="標楷體" w:hAnsi="標楷體"/>
          <w:sz w:val="32"/>
          <w:szCs w:val="32"/>
        </w:rPr>
      </w:pPr>
      <w:bookmarkStart w:id="0" w:name="_GoBack"/>
      <w:r w:rsidRPr="00001D67">
        <w:rPr>
          <w:rFonts w:ascii="標楷體" w:eastAsia="標楷體" w:hAnsi="標楷體" w:hint="eastAsia"/>
          <w:w w:val="99"/>
          <w:sz w:val="32"/>
          <w:szCs w:val="32"/>
        </w:rPr>
        <w:t>花蓮縣</w:t>
      </w:r>
      <w:r w:rsidRPr="00001D67">
        <w:rPr>
          <w:rFonts w:ascii="標楷體" w:eastAsia="標楷體" w:hAnsi="標楷體"/>
          <w:sz w:val="32"/>
          <w:szCs w:val="32"/>
        </w:rPr>
        <w:t xml:space="preserve"> </w:t>
      </w:r>
      <w:r w:rsidRPr="00001D67">
        <w:rPr>
          <w:rFonts w:ascii="標楷體" w:eastAsia="標楷體" w:hAnsi="標楷體"/>
          <w:w w:val="99"/>
          <w:sz w:val="32"/>
          <w:szCs w:val="32"/>
        </w:rPr>
        <w:t>105</w:t>
      </w:r>
      <w:r w:rsidRPr="00001D67">
        <w:rPr>
          <w:rFonts w:ascii="標楷體" w:eastAsia="標楷體" w:hAnsi="標楷體"/>
          <w:sz w:val="32"/>
          <w:szCs w:val="32"/>
        </w:rPr>
        <w:t xml:space="preserve"> 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年度國</w:t>
      </w:r>
      <w:r w:rsidRPr="00001D67">
        <w:rPr>
          <w:rFonts w:ascii="標楷體" w:eastAsia="標楷體" w:hAnsi="標楷體" w:hint="eastAsia"/>
          <w:spacing w:val="1"/>
          <w:w w:val="99"/>
          <w:sz w:val="32"/>
          <w:szCs w:val="32"/>
        </w:rPr>
        <w:t>民教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育輔導</w:t>
      </w:r>
      <w:r w:rsidRPr="00001D67">
        <w:rPr>
          <w:rFonts w:ascii="標楷體" w:eastAsia="標楷體" w:hAnsi="標楷體" w:hint="eastAsia"/>
          <w:spacing w:val="1"/>
          <w:w w:val="99"/>
          <w:sz w:val="32"/>
          <w:szCs w:val="32"/>
        </w:rPr>
        <w:t>團國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中綜合</w:t>
      </w:r>
      <w:r w:rsidRPr="00001D67">
        <w:rPr>
          <w:rFonts w:ascii="標楷體" w:eastAsia="標楷體" w:hAnsi="標楷體" w:hint="eastAsia"/>
          <w:spacing w:val="1"/>
          <w:w w:val="99"/>
          <w:sz w:val="32"/>
          <w:szCs w:val="32"/>
        </w:rPr>
        <w:t>學習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領域專業發展</w:t>
      </w:r>
      <w:bookmarkEnd w:id="0"/>
      <w:r>
        <w:rPr>
          <w:rFonts w:ascii="標楷體" w:eastAsia="標楷體" w:hAnsi="標楷體"/>
          <w:w w:val="99"/>
          <w:sz w:val="32"/>
          <w:szCs w:val="32"/>
        </w:rPr>
        <w:br/>
      </w:r>
      <w:r w:rsidRPr="00001D67">
        <w:rPr>
          <w:rFonts w:ascii="標楷體" w:eastAsia="標楷體" w:hAnsi="標楷體" w:hint="eastAsia"/>
          <w:spacing w:val="1"/>
          <w:w w:val="99"/>
          <w:sz w:val="32"/>
          <w:szCs w:val="32"/>
        </w:rPr>
        <w:t>（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學習共</w:t>
      </w:r>
      <w:r w:rsidRPr="00001D67">
        <w:rPr>
          <w:rFonts w:ascii="標楷體" w:eastAsia="標楷體" w:hAnsi="標楷體" w:hint="eastAsia"/>
          <w:spacing w:val="1"/>
          <w:w w:val="99"/>
          <w:sz w:val="32"/>
          <w:szCs w:val="32"/>
        </w:rPr>
        <w:t>同體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的實踐</w:t>
      </w:r>
      <w:r w:rsidRPr="00001D67">
        <w:rPr>
          <w:rFonts w:ascii="標楷體" w:eastAsia="標楷體" w:hAnsi="標楷體" w:hint="eastAsia"/>
          <w:spacing w:val="1"/>
          <w:w w:val="99"/>
          <w:sz w:val="32"/>
          <w:szCs w:val="32"/>
        </w:rPr>
        <w:t>）專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業研習</w:t>
      </w:r>
      <w:r w:rsidRPr="00ED0C1A">
        <w:rPr>
          <w:rFonts w:ascii="標楷體" w:eastAsia="標楷體" w:hAnsi="標楷體" w:hint="eastAsia"/>
          <w:color w:val="FF0000"/>
          <w:w w:val="99"/>
          <w:sz w:val="32"/>
          <w:szCs w:val="32"/>
        </w:rPr>
        <w:t>暨</w:t>
      </w:r>
      <w:r w:rsidRPr="00ED0C1A">
        <w:rPr>
          <w:rFonts w:ascii="標楷體" w:eastAsia="標楷體" w:hAnsi="標楷體" w:cs="Arial"/>
          <w:color w:val="FF0000"/>
          <w:sz w:val="32"/>
          <w:szCs w:val="32"/>
        </w:rPr>
        <w:t>到校</w:t>
      </w:r>
      <w:r w:rsidRPr="00ED0C1A">
        <w:rPr>
          <w:rFonts w:ascii="標楷體" w:eastAsia="標楷體" w:hAnsi="標楷體" w:cs="Arial" w:hint="eastAsia"/>
          <w:color w:val="FF0000"/>
          <w:sz w:val="32"/>
          <w:szCs w:val="32"/>
        </w:rPr>
        <w:t>輔導</w:t>
      </w:r>
      <w:r w:rsidRPr="00ED0C1A">
        <w:rPr>
          <w:rFonts w:ascii="標楷體" w:eastAsia="標楷體" w:hAnsi="標楷體" w:cs="Arial"/>
          <w:color w:val="FF0000"/>
          <w:sz w:val="32"/>
          <w:szCs w:val="32"/>
        </w:rPr>
        <w:t>服務</w:t>
      </w:r>
      <w:r w:rsidRPr="00001D67">
        <w:rPr>
          <w:rFonts w:ascii="標楷體" w:eastAsia="標楷體" w:hAnsi="標楷體" w:hint="eastAsia"/>
          <w:spacing w:val="1"/>
          <w:w w:val="99"/>
          <w:sz w:val="32"/>
          <w:szCs w:val="32"/>
        </w:rPr>
        <w:t>實施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計畫</w:t>
      </w:r>
    </w:p>
    <w:p w:rsidR="00D406B5" w:rsidRPr="00001D67" w:rsidRDefault="00D406B5" w:rsidP="00D406B5">
      <w:pPr>
        <w:pStyle w:val="a3"/>
        <w:kinsoku w:val="0"/>
        <w:overflowPunct w:val="0"/>
        <w:spacing w:before="5"/>
        <w:jc w:val="left"/>
        <w:rPr>
          <w:rFonts w:ascii="標楷體" w:eastAsia="標楷體" w:hAnsi="標楷體"/>
          <w:b w:val="0"/>
          <w:sz w:val="27"/>
          <w:szCs w:val="27"/>
        </w:rPr>
      </w:pPr>
    </w:p>
    <w:p w:rsidR="00D406B5" w:rsidRPr="00001D67" w:rsidRDefault="00D406B5" w:rsidP="00D406B5">
      <w:pPr>
        <w:pStyle w:val="a3"/>
        <w:kinsoku w:val="0"/>
        <w:overflowPunct w:val="0"/>
        <w:ind w:left="93"/>
        <w:jc w:val="left"/>
        <w:rPr>
          <w:rFonts w:ascii="標楷體" w:eastAsia="標楷體" w:hAnsi="標楷體" w:cs="文鼎海報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一、依據</w:t>
      </w:r>
    </w:p>
    <w:p w:rsidR="00D406B5" w:rsidRPr="00001D67" w:rsidRDefault="00D406B5" w:rsidP="00D406B5">
      <w:pPr>
        <w:pStyle w:val="a3"/>
        <w:kinsoku w:val="0"/>
        <w:overflowPunct w:val="0"/>
        <w:spacing w:before="4" w:line="245" w:lineRule="auto"/>
        <w:ind w:left="1015" w:right="91" w:hanging="680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（一）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教育部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國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民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及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學前教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育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署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補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助辦理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十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二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年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國民基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本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教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育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精進國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民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中</w:t>
      </w:r>
      <w:r w:rsidRPr="00001D67">
        <w:rPr>
          <w:rFonts w:ascii="標楷體" w:eastAsia="標楷體" w:hAnsi="標楷體" w:hint="eastAsia"/>
          <w:b w:val="0"/>
          <w:spacing w:val="2"/>
          <w:sz w:val="24"/>
        </w:rPr>
        <w:t>學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及國民小</w:t>
      </w:r>
      <w:r w:rsidRPr="00001D67">
        <w:rPr>
          <w:rFonts w:ascii="標楷體" w:eastAsia="標楷體" w:hAnsi="標楷體" w:hint="eastAsia"/>
          <w:b w:val="0"/>
          <w:sz w:val="24"/>
        </w:rPr>
        <w:t>學教學品質要點。</w:t>
      </w:r>
    </w:p>
    <w:p w:rsidR="00D406B5" w:rsidRPr="00001D67" w:rsidRDefault="00D406B5" w:rsidP="00D406B5">
      <w:pPr>
        <w:pStyle w:val="a3"/>
        <w:kinsoku w:val="0"/>
        <w:overflowPunct w:val="0"/>
        <w:spacing w:before="1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（二）花蓮縣</w:t>
      </w:r>
      <w:r w:rsidRPr="00001D67">
        <w:rPr>
          <w:rFonts w:ascii="標楷體" w:eastAsia="標楷體" w:hAnsi="標楷體"/>
          <w:b w:val="0"/>
          <w:spacing w:val="-3"/>
          <w:sz w:val="24"/>
        </w:rPr>
        <w:t xml:space="preserve"> </w:t>
      </w:r>
      <w:r w:rsidRPr="00001D67">
        <w:rPr>
          <w:rFonts w:ascii="標楷體" w:eastAsia="標楷體" w:hAnsi="標楷體"/>
          <w:b w:val="0"/>
          <w:sz w:val="24"/>
        </w:rPr>
        <w:t>105</w:t>
      </w:r>
      <w:r w:rsidRPr="00001D67">
        <w:rPr>
          <w:rFonts w:ascii="標楷體" w:eastAsia="標楷體" w:hAnsi="標楷體"/>
          <w:b w:val="0"/>
          <w:spacing w:val="-1"/>
          <w:sz w:val="24"/>
        </w:rPr>
        <w:t xml:space="preserve"> </w:t>
      </w:r>
      <w:r w:rsidRPr="00001D67">
        <w:rPr>
          <w:rFonts w:ascii="標楷體" w:eastAsia="標楷體" w:hAnsi="標楷體" w:hint="eastAsia"/>
          <w:b w:val="0"/>
          <w:sz w:val="24"/>
        </w:rPr>
        <w:t>年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度</w:t>
      </w:r>
      <w:r w:rsidRPr="00001D67">
        <w:rPr>
          <w:rFonts w:ascii="標楷體" w:eastAsia="標楷體" w:hAnsi="標楷體" w:hint="eastAsia"/>
          <w:b w:val="0"/>
          <w:sz w:val="24"/>
        </w:rPr>
        <w:t>十二年國民基本教育精進國中小教學品質整體計畫。</w:t>
      </w:r>
    </w:p>
    <w:p w:rsidR="00D406B5" w:rsidRPr="00001D67" w:rsidRDefault="00D406B5" w:rsidP="00D406B5">
      <w:pPr>
        <w:pStyle w:val="a3"/>
        <w:kinsoku w:val="0"/>
        <w:overflowPunct w:val="0"/>
        <w:spacing w:before="1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（三）花蓮縣國民教育輔導團</w:t>
      </w:r>
      <w:r w:rsidRPr="00001D67">
        <w:rPr>
          <w:rFonts w:ascii="標楷體" w:eastAsia="標楷體" w:hAnsi="標楷體"/>
          <w:b w:val="0"/>
          <w:spacing w:val="-3"/>
          <w:sz w:val="24"/>
        </w:rPr>
        <w:t xml:space="preserve"> </w:t>
      </w:r>
      <w:r w:rsidRPr="00001D67">
        <w:rPr>
          <w:rFonts w:ascii="標楷體" w:eastAsia="標楷體" w:hAnsi="標楷體"/>
          <w:b w:val="0"/>
          <w:sz w:val="24"/>
        </w:rPr>
        <w:t>105</w:t>
      </w:r>
      <w:r w:rsidRPr="00001D67">
        <w:rPr>
          <w:rFonts w:ascii="標楷體" w:eastAsia="標楷體" w:hAnsi="標楷體"/>
          <w:b w:val="0"/>
          <w:spacing w:val="-1"/>
          <w:sz w:val="24"/>
        </w:rPr>
        <w:t xml:space="preserve"> </w:t>
      </w:r>
      <w:r w:rsidRPr="00001D67">
        <w:rPr>
          <w:rFonts w:ascii="標楷體" w:eastAsia="標楷體" w:hAnsi="標楷體" w:hint="eastAsia"/>
          <w:b w:val="0"/>
          <w:spacing w:val="1"/>
          <w:sz w:val="24"/>
        </w:rPr>
        <w:t>年</w:t>
      </w:r>
      <w:r w:rsidRPr="00001D67">
        <w:rPr>
          <w:rFonts w:ascii="標楷體" w:eastAsia="標楷體" w:hAnsi="標楷體" w:hint="eastAsia"/>
          <w:b w:val="0"/>
          <w:sz w:val="24"/>
        </w:rPr>
        <w:t>度辦理精進教學方案推動計畫。</w:t>
      </w:r>
    </w:p>
    <w:p w:rsidR="00D406B5" w:rsidRPr="00001D67" w:rsidRDefault="00D406B5" w:rsidP="00D406B5">
      <w:pPr>
        <w:pStyle w:val="a3"/>
        <w:kinsoku w:val="0"/>
        <w:overflowPunct w:val="0"/>
        <w:spacing w:before="108"/>
        <w:ind w:left="93"/>
        <w:jc w:val="left"/>
        <w:rPr>
          <w:rFonts w:ascii="標楷體" w:eastAsia="標楷體" w:hAnsi="標楷體" w:cs="文鼎海報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二、目的</w:t>
      </w:r>
    </w:p>
    <w:p w:rsidR="00D406B5" w:rsidRPr="00001D67" w:rsidRDefault="00D406B5" w:rsidP="00D406B5">
      <w:pPr>
        <w:pStyle w:val="a3"/>
        <w:kinsoku w:val="0"/>
        <w:overflowPunct w:val="0"/>
        <w:spacing w:before="1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（一）藉由教授及中央輔導團員指導，內部增能，以強化輔導團員專業能力。</w:t>
      </w:r>
    </w:p>
    <w:p w:rsidR="00D406B5" w:rsidRPr="00001D67" w:rsidRDefault="00D406B5" w:rsidP="00D406B5">
      <w:pPr>
        <w:pStyle w:val="a3"/>
        <w:kinsoku w:val="0"/>
        <w:overflowPunct w:val="0"/>
        <w:spacing w:before="1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（二）提升綜合領域教師專業知能，精進課堂品質。</w:t>
      </w:r>
    </w:p>
    <w:p w:rsidR="00D406B5" w:rsidRPr="00001D67" w:rsidRDefault="00D406B5" w:rsidP="00D406B5">
      <w:pPr>
        <w:pStyle w:val="a3"/>
        <w:kinsoku w:val="0"/>
        <w:overflowPunct w:val="0"/>
        <w:spacing w:before="1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（三）提供不同的教學思維，促進課堂有效教學。</w:t>
      </w:r>
    </w:p>
    <w:p w:rsidR="00D406B5" w:rsidRPr="00001D67" w:rsidRDefault="00D406B5" w:rsidP="00D406B5">
      <w:pPr>
        <w:pStyle w:val="a3"/>
        <w:kinsoku w:val="0"/>
        <w:overflowPunct w:val="0"/>
        <w:spacing w:before="111"/>
        <w:ind w:left="93"/>
        <w:jc w:val="left"/>
        <w:rPr>
          <w:rFonts w:ascii="標楷體" w:eastAsia="標楷體" w:hAnsi="標楷體" w:cs="文鼎海報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三、辦理單位</w:t>
      </w:r>
    </w:p>
    <w:p w:rsidR="00D406B5" w:rsidRPr="00001D67" w:rsidRDefault="00D406B5" w:rsidP="00D406B5">
      <w:pPr>
        <w:pStyle w:val="a3"/>
        <w:kinsoku w:val="0"/>
        <w:overflowPunct w:val="0"/>
        <w:spacing w:before="5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（一）指導單位：教育部國民及學前教育署</w:t>
      </w:r>
    </w:p>
    <w:p w:rsidR="00D406B5" w:rsidRPr="00001D67" w:rsidRDefault="00D406B5" w:rsidP="00D406B5">
      <w:pPr>
        <w:pStyle w:val="a3"/>
        <w:kinsoku w:val="0"/>
        <w:overflowPunct w:val="0"/>
        <w:spacing w:before="4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（二）主辦單位：花蓮縣政府教育處</w:t>
      </w:r>
    </w:p>
    <w:p w:rsidR="00D406B5" w:rsidRPr="00001D67" w:rsidRDefault="00D406B5" w:rsidP="00D406B5">
      <w:pPr>
        <w:pStyle w:val="a3"/>
        <w:kinsoku w:val="0"/>
        <w:overflowPunct w:val="0"/>
        <w:spacing w:before="2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（三）承辦單位：</w:t>
      </w:r>
      <w:r w:rsidRPr="00001D67">
        <w:rPr>
          <w:rFonts w:ascii="標楷體" w:eastAsia="標楷體" w:hAnsi="標楷體" w:cs="Wingdings" w:hint="eastAsia"/>
          <w:b w:val="0"/>
          <w:sz w:val="24"/>
        </w:rPr>
        <w:t>花蓮縣宜昌</w:t>
      </w:r>
      <w:r w:rsidRPr="00001D67">
        <w:rPr>
          <w:rFonts w:ascii="標楷體" w:eastAsia="標楷體" w:hAnsi="標楷體" w:hint="eastAsia"/>
          <w:b w:val="0"/>
          <w:spacing w:val="-2"/>
          <w:sz w:val="24"/>
        </w:rPr>
        <w:t>國</w:t>
      </w:r>
      <w:r w:rsidRPr="00001D67">
        <w:rPr>
          <w:rFonts w:ascii="標楷體" w:eastAsia="標楷體" w:hAnsi="標楷體" w:hint="eastAsia"/>
          <w:b w:val="0"/>
          <w:sz w:val="24"/>
        </w:rPr>
        <w:t>民中學</w:t>
      </w:r>
    </w:p>
    <w:p w:rsidR="00D406B5" w:rsidRPr="00001D67" w:rsidRDefault="00D406B5" w:rsidP="00D406B5">
      <w:pPr>
        <w:pStyle w:val="a3"/>
        <w:kinsoku w:val="0"/>
        <w:overflowPunct w:val="0"/>
        <w:spacing w:before="109" w:line="355" w:lineRule="auto"/>
        <w:ind w:left="93" w:right="5424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四、</w:t>
      </w:r>
      <w:r w:rsidRPr="00ED0C1A">
        <w:rPr>
          <w:rFonts w:ascii="標楷體" w:eastAsia="標楷體" w:hAnsi="標楷體" w:cs="文鼎海報體" w:hint="eastAsia"/>
          <w:b w:val="0"/>
          <w:color w:val="FF0000"/>
          <w:sz w:val="24"/>
        </w:rPr>
        <w:t>到校服務</w:t>
      </w:r>
      <w:r w:rsidRPr="00001D67">
        <w:rPr>
          <w:rFonts w:ascii="標楷體" w:eastAsia="標楷體" w:hAnsi="標楷體" w:cs="文鼎海報體" w:hint="eastAsia"/>
          <w:b w:val="0"/>
          <w:sz w:val="24"/>
        </w:rPr>
        <w:t>日期及地點</w:t>
      </w:r>
      <w:r w:rsidRPr="00001D67">
        <w:rPr>
          <w:rFonts w:ascii="標楷體" w:eastAsia="標楷體" w:hAnsi="標楷體"/>
          <w:b w:val="0"/>
          <w:sz w:val="24"/>
        </w:rPr>
        <w:t xml:space="preserve"> </w:t>
      </w:r>
    </w:p>
    <w:p w:rsidR="00537157" w:rsidRDefault="00D406B5" w:rsidP="00537157">
      <w:pPr>
        <w:pStyle w:val="a3"/>
        <w:kinsoku w:val="0"/>
        <w:overflowPunct w:val="0"/>
        <w:spacing w:before="2"/>
        <w:ind w:leftChars="139" w:left="334" w:firstLineChars="200" w:firstLine="480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時間：</w:t>
      </w:r>
      <w:r w:rsidRPr="00001D67">
        <w:rPr>
          <w:rFonts w:ascii="標楷體" w:eastAsia="標楷體" w:hAnsi="標楷體"/>
          <w:b w:val="0"/>
          <w:sz w:val="24"/>
        </w:rPr>
        <w:t>105</w:t>
      </w:r>
      <w:r w:rsidRPr="00001D67">
        <w:rPr>
          <w:rFonts w:ascii="標楷體" w:eastAsia="標楷體" w:hAnsi="標楷體" w:hint="eastAsia"/>
          <w:b w:val="0"/>
          <w:sz w:val="24"/>
        </w:rPr>
        <w:t>年</w:t>
      </w:r>
      <w:r w:rsidRPr="00001D67">
        <w:rPr>
          <w:rFonts w:ascii="標楷體" w:eastAsia="標楷體" w:hAnsi="標楷體"/>
          <w:b w:val="0"/>
          <w:sz w:val="24"/>
        </w:rPr>
        <w:t>0</w:t>
      </w:r>
      <w:r w:rsidR="00324596">
        <w:rPr>
          <w:rFonts w:ascii="標楷體" w:eastAsia="標楷體" w:hAnsi="標楷體" w:hint="eastAsia"/>
          <w:b w:val="0"/>
          <w:sz w:val="24"/>
        </w:rPr>
        <w:t>5</w:t>
      </w:r>
      <w:r w:rsidRPr="00001D67">
        <w:rPr>
          <w:rFonts w:ascii="標楷體" w:eastAsia="標楷體" w:hAnsi="標楷體" w:hint="eastAsia"/>
          <w:b w:val="0"/>
          <w:sz w:val="24"/>
        </w:rPr>
        <w:t>月</w:t>
      </w:r>
      <w:r w:rsidR="00324596">
        <w:rPr>
          <w:rFonts w:ascii="標楷體" w:eastAsia="標楷體" w:hAnsi="標楷體" w:hint="eastAsia"/>
          <w:b w:val="0"/>
          <w:sz w:val="24"/>
        </w:rPr>
        <w:t>20</w:t>
      </w:r>
      <w:r w:rsidRPr="00001D67">
        <w:rPr>
          <w:rFonts w:ascii="標楷體" w:eastAsia="標楷體" w:hAnsi="標楷體" w:hint="eastAsia"/>
          <w:b w:val="0"/>
          <w:sz w:val="24"/>
        </w:rPr>
        <w:t>日</w:t>
      </w:r>
      <w:r w:rsidRPr="00001D67">
        <w:rPr>
          <w:rFonts w:ascii="標楷體" w:eastAsia="標楷體" w:hAnsi="標楷體"/>
          <w:b w:val="0"/>
          <w:sz w:val="24"/>
        </w:rPr>
        <w:t>1</w:t>
      </w:r>
      <w:r w:rsidR="00D36D16">
        <w:rPr>
          <w:rFonts w:ascii="標楷體" w:eastAsia="標楷體" w:hAnsi="標楷體" w:hint="eastAsia"/>
          <w:b w:val="0"/>
          <w:sz w:val="24"/>
        </w:rPr>
        <w:t>4</w:t>
      </w:r>
      <w:r w:rsidRPr="00001D67">
        <w:rPr>
          <w:rFonts w:ascii="標楷體" w:eastAsia="標楷體" w:hAnsi="標楷體" w:hint="eastAsia"/>
          <w:b w:val="0"/>
          <w:sz w:val="24"/>
        </w:rPr>
        <w:t>：</w:t>
      </w:r>
      <w:r w:rsidR="00D36D16">
        <w:rPr>
          <w:rFonts w:ascii="標楷體" w:eastAsia="標楷體" w:hAnsi="標楷體" w:hint="eastAsia"/>
          <w:b w:val="0"/>
          <w:sz w:val="24"/>
        </w:rPr>
        <w:t>0</w:t>
      </w:r>
      <w:r w:rsidRPr="00001D67">
        <w:rPr>
          <w:rFonts w:ascii="標楷體" w:eastAsia="標楷體" w:hAnsi="標楷體"/>
          <w:b w:val="0"/>
          <w:sz w:val="24"/>
        </w:rPr>
        <w:t>0</w:t>
      </w:r>
      <w:r w:rsidRPr="00001D67">
        <w:rPr>
          <w:rFonts w:ascii="標楷體" w:eastAsia="標楷體" w:hAnsi="標楷體" w:hint="eastAsia"/>
          <w:b w:val="0"/>
          <w:sz w:val="24"/>
        </w:rPr>
        <w:t>至</w:t>
      </w:r>
      <w:r w:rsidR="00D36D16">
        <w:rPr>
          <w:rFonts w:ascii="標楷體" w:eastAsia="標楷體" w:hAnsi="標楷體"/>
          <w:b w:val="0"/>
          <w:sz w:val="24"/>
        </w:rPr>
        <w:t>1</w:t>
      </w:r>
      <w:r w:rsidR="00D36D16">
        <w:rPr>
          <w:rFonts w:ascii="標楷體" w:eastAsia="標楷體" w:hAnsi="標楷體" w:hint="eastAsia"/>
          <w:b w:val="0"/>
          <w:sz w:val="24"/>
        </w:rPr>
        <w:t>7</w:t>
      </w:r>
      <w:r w:rsidRPr="00001D67">
        <w:rPr>
          <w:rFonts w:ascii="標楷體" w:eastAsia="標楷體" w:hAnsi="標楷體" w:hint="eastAsia"/>
          <w:b w:val="0"/>
          <w:sz w:val="24"/>
        </w:rPr>
        <w:t>：</w:t>
      </w:r>
      <w:r w:rsidR="00D36D16">
        <w:rPr>
          <w:rFonts w:ascii="標楷體" w:eastAsia="標楷體" w:hAnsi="標楷體" w:hint="eastAsia"/>
          <w:b w:val="0"/>
          <w:sz w:val="24"/>
        </w:rPr>
        <w:t>0</w:t>
      </w:r>
      <w:r w:rsidRPr="00001D67">
        <w:rPr>
          <w:rFonts w:ascii="標楷體" w:eastAsia="標楷體" w:hAnsi="標楷體"/>
          <w:b w:val="0"/>
          <w:sz w:val="24"/>
        </w:rPr>
        <w:t xml:space="preserve">0  </w:t>
      </w:r>
    </w:p>
    <w:p w:rsidR="00D406B5" w:rsidRPr="00001D67" w:rsidRDefault="00537157" w:rsidP="00537157">
      <w:pPr>
        <w:pStyle w:val="a3"/>
        <w:kinsoku w:val="0"/>
        <w:overflowPunct w:val="0"/>
        <w:spacing w:before="2"/>
        <w:ind w:leftChars="139" w:left="334" w:firstLineChars="200" w:firstLine="480"/>
        <w:jc w:val="left"/>
        <w:rPr>
          <w:rFonts w:ascii="標楷體" w:eastAsia="標楷體" w:hAnsi="標楷體"/>
          <w:b w:val="0"/>
          <w:sz w:val="24"/>
        </w:rPr>
      </w:pPr>
      <w:r>
        <w:rPr>
          <w:rFonts w:ascii="標楷體" w:eastAsia="標楷體" w:hAnsi="標楷體" w:hint="eastAsia"/>
          <w:b w:val="0"/>
          <w:sz w:val="24"/>
        </w:rPr>
        <w:t>地點：</w:t>
      </w:r>
      <w:r w:rsidR="00D406B5" w:rsidRPr="00001D67">
        <w:rPr>
          <w:rFonts w:ascii="標楷體" w:eastAsia="標楷體" w:hAnsi="標楷體" w:hint="eastAsia"/>
          <w:b w:val="0"/>
          <w:sz w:val="24"/>
        </w:rPr>
        <w:t>吉安國中</w:t>
      </w:r>
    </w:p>
    <w:p w:rsidR="00D406B5" w:rsidRPr="00001D67" w:rsidRDefault="00D406B5" w:rsidP="00D406B5">
      <w:pPr>
        <w:pStyle w:val="a3"/>
        <w:kinsoku w:val="0"/>
        <w:overflowPunct w:val="0"/>
        <w:spacing w:before="109" w:line="355" w:lineRule="auto"/>
        <w:ind w:left="93" w:right="5424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五、參加對象及人數</w:t>
      </w:r>
      <w:r w:rsidRPr="00001D67">
        <w:rPr>
          <w:rFonts w:ascii="標楷體" w:eastAsia="標楷體" w:hAnsi="標楷體"/>
          <w:b w:val="0"/>
          <w:sz w:val="24"/>
        </w:rPr>
        <w:t xml:space="preserve"> </w:t>
      </w:r>
    </w:p>
    <w:p w:rsidR="00D406B5" w:rsidRPr="00001D67" w:rsidRDefault="00D406B5" w:rsidP="00D406B5">
      <w:pPr>
        <w:pStyle w:val="a3"/>
        <w:kinsoku w:val="0"/>
        <w:overflowPunct w:val="0"/>
        <w:spacing w:before="5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（一）參加對象：</w:t>
      </w:r>
    </w:p>
    <w:p w:rsidR="00D406B5" w:rsidRPr="00001D67" w:rsidRDefault="00D406B5" w:rsidP="00D406B5">
      <w:pPr>
        <w:pStyle w:val="a3"/>
        <w:numPr>
          <w:ilvl w:val="0"/>
          <w:numId w:val="1"/>
        </w:numPr>
        <w:tabs>
          <w:tab w:val="left" w:pos="1620"/>
        </w:tabs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本縣國教輔導團國中綜合領域輔導團團員。</w:t>
      </w:r>
    </w:p>
    <w:p w:rsidR="00D406B5" w:rsidRPr="005075B1" w:rsidRDefault="00D406B5" w:rsidP="00D406B5">
      <w:pPr>
        <w:pStyle w:val="a3"/>
        <w:numPr>
          <w:ilvl w:val="0"/>
          <w:numId w:val="1"/>
        </w:numPr>
        <w:tabs>
          <w:tab w:val="left" w:pos="1620"/>
        </w:tabs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標楷體" w:eastAsia="標楷體" w:hAnsi="標楷體"/>
          <w:b w:val="0"/>
          <w:color w:val="FF0000"/>
          <w:sz w:val="24"/>
        </w:rPr>
      </w:pPr>
      <w:r w:rsidRPr="005075B1">
        <w:rPr>
          <w:rFonts w:ascii="標楷體" w:eastAsia="標楷體" w:hAnsi="標楷體" w:hint="eastAsia"/>
          <w:b w:val="0"/>
          <w:color w:val="FF0000"/>
          <w:sz w:val="24"/>
        </w:rPr>
        <w:t>本縣各國中綜合活動領域召集人。</w:t>
      </w:r>
    </w:p>
    <w:p w:rsidR="00D406B5" w:rsidRDefault="00D406B5" w:rsidP="00D406B5">
      <w:pPr>
        <w:pStyle w:val="a3"/>
        <w:numPr>
          <w:ilvl w:val="0"/>
          <w:numId w:val="1"/>
        </w:numPr>
        <w:tabs>
          <w:tab w:val="left" w:pos="1620"/>
        </w:tabs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標楷體" w:eastAsia="標楷體" w:hAnsi="標楷體"/>
          <w:b w:val="0"/>
          <w:sz w:val="24"/>
        </w:rPr>
      </w:pPr>
      <w:r w:rsidRPr="00ED0C1A">
        <w:rPr>
          <w:rFonts w:ascii="標楷體" w:eastAsia="標楷體" w:hAnsi="標楷體" w:hint="eastAsia"/>
          <w:b w:val="0"/>
          <w:color w:val="FF0000"/>
          <w:sz w:val="24"/>
        </w:rPr>
        <w:t>服務學校</w:t>
      </w:r>
      <w:r w:rsidRPr="00001D67">
        <w:rPr>
          <w:rFonts w:ascii="標楷體" w:eastAsia="標楷體" w:hAnsi="標楷體" w:hint="eastAsia"/>
          <w:b w:val="0"/>
          <w:sz w:val="24"/>
        </w:rPr>
        <w:t>綜合活動領域教師及配課教師。</w:t>
      </w:r>
    </w:p>
    <w:p w:rsidR="00537157" w:rsidRPr="00537157" w:rsidRDefault="00537157" w:rsidP="00D406B5">
      <w:pPr>
        <w:pStyle w:val="a3"/>
        <w:numPr>
          <w:ilvl w:val="0"/>
          <w:numId w:val="1"/>
        </w:numPr>
        <w:tabs>
          <w:tab w:val="left" w:pos="1620"/>
        </w:tabs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標楷體" w:eastAsia="標楷體" w:hAnsi="標楷體"/>
          <w:b w:val="0"/>
          <w:sz w:val="24"/>
        </w:rPr>
      </w:pPr>
      <w:r w:rsidRPr="00537157">
        <w:rPr>
          <w:rFonts w:ascii="標楷體" w:eastAsia="標楷體" w:hAnsi="標楷體" w:hint="eastAsia"/>
          <w:b w:val="0"/>
          <w:color w:val="FF0000"/>
          <w:sz w:val="24"/>
        </w:rPr>
        <w:t>其他綜合活動</w:t>
      </w:r>
      <w:r w:rsidRPr="00537157">
        <w:rPr>
          <w:rFonts w:ascii="標楷體" w:eastAsia="標楷體" w:hAnsi="標楷體" w:hint="eastAsia"/>
          <w:b w:val="0"/>
          <w:sz w:val="24"/>
        </w:rPr>
        <w:t>領域教師及配課教師。</w:t>
      </w:r>
    </w:p>
    <w:p w:rsidR="00D406B5" w:rsidRPr="00001D67" w:rsidRDefault="00D406B5" w:rsidP="00D406B5">
      <w:pPr>
        <w:pStyle w:val="a3"/>
        <w:kinsoku w:val="0"/>
        <w:overflowPunct w:val="0"/>
        <w:spacing w:before="5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（二）參加人數：預計錄取</w:t>
      </w:r>
      <w:r w:rsidRPr="00001D67">
        <w:rPr>
          <w:rFonts w:ascii="標楷體" w:eastAsia="標楷體" w:hAnsi="標楷體"/>
          <w:b w:val="0"/>
          <w:sz w:val="24"/>
        </w:rPr>
        <w:t>30</w:t>
      </w:r>
      <w:r w:rsidRPr="00001D67">
        <w:rPr>
          <w:rFonts w:ascii="標楷體" w:eastAsia="標楷體" w:hAnsi="標楷體" w:hint="eastAsia"/>
          <w:b w:val="0"/>
          <w:sz w:val="24"/>
        </w:rPr>
        <w:t>名</w:t>
      </w:r>
    </w:p>
    <w:p w:rsidR="00D406B5" w:rsidRPr="00001D67" w:rsidRDefault="00D406B5" w:rsidP="00D406B5">
      <w:pPr>
        <w:pStyle w:val="a3"/>
        <w:kinsoku w:val="0"/>
        <w:overflowPunct w:val="0"/>
        <w:spacing w:before="109" w:line="355" w:lineRule="auto"/>
        <w:ind w:left="93" w:right="5424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六、研習內容</w:t>
      </w:r>
      <w:r w:rsidRPr="00001D67">
        <w:rPr>
          <w:rFonts w:ascii="標楷體" w:eastAsia="標楷體" w:hAnsi="標楷體"/>
          <w:b w:val="0"/>
          <w:sz w:val="24"/>
        </w:rPr>
        <w:t xml:space="preserve"> </w:t>
      </w:r>
    </w:p>
    <w:tbl>
      <w:tblPr>
        <w:tblW w:w="42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3"/>
        <w:gridCol w:w="2877"/>
        <w:gridCol w:w="3502"/>
      </w:tblGrid>
      <w:tr w:rsidR="00D406B5" w:rsidRPr="00001D67" w:rsidTr="009C4A12">
        <w:trPr>
          <w:trHeight w:val="68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Pr="00001D67" w:rsidRDefault="00D406B5" w:rsidP="00537157">
            <w:pPr>
              <w:spacing w:line="34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/>
                <w:bCs/>
              </w:rPr>
              <w:t>105.0</w:t>
            </w:r>
            <w:r w:rsidR="00537157">
              <w:rPr>
                <w:rFonts w:ascii="標楷體" w:eastAsia="標楷體" w:hAnsi="標楷體" w:hint="eastAsia"/>
                <w:bCs/>
              </w:rPr>
              <w:t>5</w:t>
            </w:r>
            <w:r w:rsidRPr="00001D67">
              <w:rPr>
                <w:rFonts w:ascii="標楷體" w:eastAsia="標楷體" w:hAnsi="標楷體"/>
                <w:bCs/>
              </w:rPr>
              <w:t>.</w:t>
            </w:r>
            <w:r w:rsidR="00537157">
              <w:rPr>
                <w:rFonts w:ascii="標楷體" w:eastAsia="標楷體" w:hAnsi="標楷體" w:hint="eastAsia"/>
                <w:bCs/>
              </w:rPr>
              <w:t>20</w:t>
            </w:r>
            <w:r w:rsidRPr="00001D67">
              <w:rPr>
                <w:rFonts w:ascii="標楷體" w:eastAsia="標楷體" w:hAnsi="標楷體" w:hint="eastAsia"/>
                <w:bCs/>
              </w:rPr>
              <w:t>課程表</w:t>
            </w:r>
          </w:p>
        </w:tc>
      </w:tr>
      <w:tr w:rsidR="00D406B5" w:rsidRPr="00001D67" w:rsidTr="009C4A12">
        <w:trPr>
          <w:trHeight w:val="347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D406B5" w:rsidRPr="00001D67" w:rsidTr="009C4A12">
        <w:trPr>
          <w:trHeight w:val="339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Chars="-15" w:left="-36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13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00-13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D406B5" w:rsidRPr="00001D67" w:rsidTr="009C4A12">
        <w:trPr>
          <w:trHeight w:val="373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Chars="-15" w:left="-36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13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20-13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陳玉明校長</w:t>
            </w:r>
          </w:p>
        </w:tc>
      </w:tr>
      <w:tr w:rsidR="00D406B5" w:rsidRPr="00001D67" w:rsidTr="009C4A12">
        <w:trPr>
          <w:trHeight w:val="356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13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30-14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備課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劉美嬌老師</w:t>
            </w:r>
          </w:p>
          <w:p w:rsidR="0065621F" w:rsidRPr="00001D67" w:rsidRDefault="0065621F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陳慧雯老師</w:t>
            </w:r>
          </w:p>
        </w:tc>
      </w:tr>
      <w:tr w:rsidR="00D406B5" w:rsidRPr="00001D67" w:rsidTr="009C4A12">
        <w:trPr>
          <w:trHeight w:val="248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lastRenderedPageBreak/>
              <w:t>14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15-14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D406B5" w:rsidRPr="00001D67" w:rsidTr="009C4A12">
        <w:trPr>
          <w:trHeight w:val="248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14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25-15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firstLineChars="50" w:firstLine="12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劉美嬌老師</w:t>
            </w:r>
          </w:p>
          <w:p w:rsidR="00D406B5" w:rsidRPr="00001D67" w:rsidRDefault="00D406B5" w:rsidP="0065621F">
            <w:pPr>
              <w:ind w:firstLineChars="50" w:firstLine="12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陳慧雯老師</w:t>
            </w:r>
          </w:p>
        </w:tc>
      </w:tr>
      <w:tr w:rsidR="00D406B5" w:rsidRPr="00001D67" w:rsidTr="009C4A12">
        <w:trPr>
          <w:trHeight w:val="248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15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10-16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Default="00D406B5" w:rsidP="009C4A12">
            <w:pPr>
              <w:ind w:firstLineChars="50" w:firstLine="12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劉美嬌老師</w:t>
            </w:r>
          </w:p>
          <w:p w:rsidR="0065621F" w:rsidRPr="00001D67" w:rsidRDefault="0065621F" w:rsidP="009C4A12">
            <w:pPr>
              <w:ind w:firstLineChars="50" w:firstLine="12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陳慧雯老師</w:t>
            </w:r>
          </w:p>
        </w:tc>
      </w:tr>
      <w:tr w:rsidR="00D406B5" w:rsidRPr="00001D67" w:rsidTr="009C4A12">
        <w:trPr>
          <w:trHeight w:val="248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16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00-16</w:t>
            </w:r>
            <w:r w:rsidRPr="00001D67">
              <w:rPr>
                <w:rFonts w:ascii="標楷體" w:eastAsia="標楷體" w:hAnsi="標楷體" w:hint="eastAsia"/>
                <w:kern w:val="0"/>
              </w:rPr>
              <w:t>：</w:t>
            </w:r>
            <w:r w:rsidRPr="00001D67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17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left="780" w:hanging="78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0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6B5" w:rsidRPr="00001D67" w:rsidRDefault="00D406B5" w:rsidP="009C4A12">
            <w:pPr>
              <w:ind w:firstLineChars="50" w:firstLine="120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陳玉明校長</w:t>
            </w:r>
          </w:p>
        </w:tc>
      </w:tr>
    </w:tbl>
    <w:p w:rsidR="00D406B5" w:rsidRPr="00001D67" w:rsidRDefault="00D406B5" w:rsidP="00D406B5">
      <w:pPr>
        <w:pStyle w:val="a3"/>
        <w:kinsoku w:val="0"/>
        <w:overflowPunct w:val="0"/>
        <w:spacing w:before="109" w:line="355" w:lineRule="auto"/>
        <w:ind w:left="93" w:right="5424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七、預期成效</w:t>
      </w:r>
      <w:r w:rsidRPr="00001D67">
        <w:rPr>
          <w:rFonts w:ascii="標楷體" w:eastAsia="標楷體" w:hAnsi="標楷體"/>
          <w:b w:val="0"/>
          <w:sz w:val="24"/>
        </w:rPr>
        <w:t xml:space="preserve"> </w:t>
      </w:r>
    </w:p>
    <w:p w:rsidR="00D406B5" w:rsidRPr="00001D67" w:rsidRDefault="00D406B5" w:rsidP="00D406B5">
      <w:pPr>
        <w:pStyle w:val="a3"/>
        <w:kinsoku w:val="0"/>
        <w:overflowPunct w:val="0"/>
        <w:spacing w:before="5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（一）提供本領域國中輔導團員、綜合活動領域教師專業進修機會，活化綜合課程教學。</w:t>
      </w:r>
    </w:p>
    <w:p w:rsidR="00D406B5" w:rsidRPr="00001D67" w:rsidRDefault="00D406B5" w:rsidP="00D406B5">
      <w:pPr>
        <w:pStyle w:val="a3"/>
        <w:kinsoku w:val="0"/>
        <w:overflowPunct w:val="0"/>
        <w:spacing w:before="5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（二）透過共同備課、觀課、議課，達到專業對話目的。</w:t>
      </w:r>
    </w:p>
    <w:p w:rsidR="00D406B5" w:rsidRPr="00001D67" w:rsidRDefault="00D406B5" w:rsidP="00D406B5">
      <w:pPr>
        <w:pStyle w:val="a3"/>
        <w:kinsoku w:val="0"/>
        <w:overflowPunct w:val="0"/>
        <w:spacing w:before="5"/>
        <w:ind w:left="333"/>
        <w:jc w:val="left"/>
        <w:rPr>
          <w:rFonts w:ascii="標楷體" w:eastAsia="標楷體" w:hAnsi="標楷體"/>
          <w:b w:val="0"/>
          <w:sz w:val="24"/>
        </w:rPr>
      </w:pPr>
      <w:r w:rsidRPr="00001D67">
        <w:rPr>
          <w:rFonts w:ascii="標楷體" w:eastAsia="標楷體" w:hAnsi="標楷體" w:hint="eastAsia"/>
          <w:b w:val="0"/>
          <w:sz w:val="24"/>
        </w:rPr>
        <w:t>（三）以輔導團員作為領頭羊公開授課，帶動教學現場教師未來嘗試公開授課之可行性。</w:t>
      </w:r>
    </w:p>
    <w:p w:rsidR="00D406B5" w:rsidRPr="00001D67" w:rsidRDefault="00D406B5" w:rsidP="00D406B5">
      <w:pPr>
        <w:pStyle w:val="a3"/>
        <w:kinsoku w:val="0"/>
        <w:overflowPunct w:val="0"/>
        <w:spacing w:before="109" w:line="355" w:lineRule="auto"/>
        <w:ind w:left="93" w:right="5424"/>
        <w:jc w:val="left"/>
        <w:rPr>
          <w:rFonts w:ascii="標楷體" w:eastAsia="標楷體" w:hAnsi="標楷體" w:cs="文鼎海報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八、經費來源及概算</w:t>
      </w:r>
    </w:p>
    <w:p w:rsidR="00D406B5" w:rsidRPr="00001D67" w:rsidRDefault="00D406B5" w:rsidP="00D406B5">
      <w:pPr>
        <w:pStyle w:val="a3"/>
        <w:kinsoku w:val="0"/>
        <w:overflowPunct w:val="0"/>
        <w:ind w:leftChars="200" w:left="480"/>
        <w:jc w:val="left"/>
        <w:rPr>
          <w:rFonts w:ascii="標楷體" w:eastAsia="標楷體" w:hAnsi="標楷體" w:cs="文鼎海報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經費來源：教育部國教署之精進教學計劃經費補助</w:t>
      </w:r>
    </w:p>
    <w:p w:rsidR="00D406B5" w:rsidRPr="00001D67" w:rsidRDefault="00D406B5" w:rsidP="00D406B5">
      <w:pPr>
        <w:pStyle w:val="a3"/>
        <w:kinsoku w:val="0"/>
        <w:overflowPunct w:val="0"/>
        <w:ind w:leftChars="200" w:left="480"/>
        <w:jc w:val="left"/>
        <w:rPr>
          <w:rFonts w:ascii="標楷體" w:eastAsia="標楷體" w:hAnsi="標楷體" w:cs="文鼎海報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b w:val="0"/>
          <w:sz w:val="24"/>
        </w:rPr>
        <w:t>經費概算：</w:t>
      </w:r>
      <w:r w:rsidR="00EE3529">
        <w:rPr>
          <w:rFonts w:ascii="標楷體" w:eastAsia="標楷體" w:hAnsi="標楷體" w:cs="文鼎海報體" w:hint="eastAsia"/>
          <w:b w:val="0"/>
          <w:sz w:val="24"/>
        </w:rPr>
        <w:t>如附件</w:t>
      </w:r>
    </w:p>
    <w:p w:rsidR="00D406B5" w:rsidRPr="00001D67" w:rsidRDefault="00D406B5" w:rsidP="00D406B5">
      <w:pPr>
        <w:pStyle w:val="a3"/>
        <w:kinsoku w:val="0"/>
        <w:overflowPunct w:val="0"/>
        <w:spacing w:before="109" w:line="355" w:lineRule="auto"/>
        <w:ind w:left="93" w:right="5424"/>
        <w:jc w:val="left"/>
        <w:rPr>
          <w:rFonts w:ascii="標楷體" w:eastAsia="標楷體" w:hAnsi="標楷體" w:cs="文鼎海報體"/>
          <w:b w:val="0"/>
          <w:sz w:val="24"/>
        </w:rPr>
      </w:pPr>
      <w:r w:rsidRPr="00001D67">
        <w:rPr>
          <w:rFonts w:ascii="標楷體" w:eastAsia="標楷體" w:hAnsi="標楷體" w:cs="文鼎海報體" w:hint="eastAsia"/>
          <w:sz w:val="24"/>
        </w:rPr>
        <w:t>九、</w:t>
      </w:r>
      <w:r w:rsidRPr="00001D67">
        <w:rPr>
          <w:rFonts w:ascii="標楷體" w:eastAsia="標楷體" w:hAnsi="標楷體" w:cs="文鼎海報體" w:hint="eastAsia"/>
          <w:b w:val="0"/>
          <w:sz w:val="24"/>
        </w:rPr>
        <w:t>成效評估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129"/>
        <w:gridCol w:w="2126"/>
        <w:gridCol w:w="851"/>
        <w:gridCol w:w="1559"/>
        <w:gridCol w:w="850"/>
      </w:tblGrid>
      <w:tr w:rsidR="00D406B5" w:rsidRPr="00001D67" w:rsidTr="009C4A12">
        <w:tc>
          <w:tcPr>
            <w:tcW w:w="990" w:type="dxa"/>
            <w:vAlign w:val="center"/>
          </w:tcPr>
          <w:p w:rsidR="00D406B5" w:rsidRPr="00001D67" w:rsidRDefault="00D406B5" w:rsidP="009C4A12">
            <w:pPr>
              <w:adjustRightInd w:val="0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/>
                <w:b/>
              </w:rPr>
              <w:t>Guskey</w:t>
            </w:r>
            <w:r w:rsidRPr="00001D67">
              <w:rPr>
                <w:rFonts w:ascii="標楷體" w:eastAsia="標楷體" w:hAnsi="標楷體" w:hint="eastAsia"/>
                <w:b/>
              </w:rPr>
              <w:t>參考層面</w:t>
            </w:r>
          </w:p>
        </w:tc>
        <w:tc>
          <w:tcPr>
            <w:tcW w:w="2129" w:type="dxa"/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126" w:type="dxa"/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851" w:type="dxa"/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559" w:type="dxa"/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D406B5" w:rsidRPr="00001D67" w:rsidRDefault="00D406B5" w:rsidP="009C4A12">
            <w:pPr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850" w:type="dxa"/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D406B5" w:rsidRPr="00001D67" w:rsidTr="009C4A12">
        <w:tc>
          <w:tcPr>
            <w:tcW w:w="990" w:type="dxa"/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參與者反應</w:t>
            </w:r>
          </w:p>
        </w:tc>
        <w:tc>
          <w:tcPr>
            <w:tcW w:w="2129" w:type="dxa"/>
          </w:tcPr>
          <w:p w:rsidR="00D406B5" w:rsidRPr="00001D67" w:rsidRDefault="00D406B5" w:rsidP="009C4A12">
            <w:pPr>
              <w:pStyle w:val="a3"/>
              <w:kinsoku w:val="0"/>
              <w:overflowPunct w:val="0"/>
              <w:spacing w:before="1"/>
              <w:jc w:val="left"/>
              <w:rPr>
                <w:rFonts w:ascii="標楷體" w:eastAsia="標楷體" w:hAnsi="標楷體"/>
                <w:b w:val="0"/>
                <w:sz w:val="24"/>
              </w:rPr>
            </w:pPr>
            <w:r w:rsidRPr="00001D67">
              <w:rPr>
                <w:rFonts w:ascii="標楷體" w:eastAsia="標楷體" w:hAnsi="標楷體" w:hint="eastAsia"/>
                <w:b w:val="0"/>
                <w:sz w:val="24"/>
              </w:rPr>
              <w:t>藉由教授及中央輔導團員指導，內部增能，以強化輔導團員專業能力。</w:t>
            </w:r>
          </w:p>
          <w:p w:rsidR="00D406B5" w:rsidRPr="00001D67" w:rsidRDefault="00D406B5" w:rsidP="009C4A12">
            <w:pPr>
              <w:pStyle w:val="a3"/>
              <w:kinsoku w:val="0"/>
              <w:overflowPunct w:val="0"/>
              <w:spacing w:before="1"/>
              <w:jc w:val="left"/>
              <w:rPr>
                <w:rFonts w:ascii="標楷體" w:eastAsia="標楷體" w:hAnsi="標楷體"/>
                <w:b w:val="0"/>
                <w:sz w:val="24"/>
              </w:rPr>
            </w:pPr>
            <w:r w:rsidRPr="00001D67">
              <w:rPr>
                <w:rFonts w:ascii="標楷體" w:eastAsia="標楷體" w:hAnsi="標楷體" w:hint="eastAsia"/>
                <w:b w:val="0"/>
                <w:sz w:val="24"/>
              </w:rPr>
              <w:t>提升綜合領域教師專業知能，精進課堂品質。</w:t>
            </w:r>
          </w:p>
        </w:tc>
        <w:tc>
          <w:tcPr>
            <w:tcW w:w="2126" w:type="dxa"/>
          </w:tcPr>
          <w:p w:rsidR="00D406B5" w:rsidRPr="00001D67" w:rsidRDefault="00D406B5" w:rsidP="009C4A12">
            <w:pPr>
              <w:pStyle w:val="a3"/>
              <w:kinsoku w:val="0"/>
              <w:overflowPunct w:val="0"/>
              <w:spacing w:before="5"/>
              <w:jc w:val="left"/>
              <w:rPr>
                <w:rFonts w:ascii="標楷體" w:eastAsia="標楷體" w:hAnsi="標楷體"/>
                <w:b w:val="0"/>
                <w:sz w:val="24"/>
              </w:rPr>
            </w:pPr>
            <w:r w:rsidRPr="00001D67">
              <w:rPr>
                <w:rFonts w:ascii="標楷體" w:eastAsia="標楷體" w:hAnsi="標楷體" w:hint="eastAsia"/>
                <w:b w:val="0"/>
                <w:sz w:val="24"/>
              </w:rPr>
              <w:t>提供本領域國中輔導團員、綜合活動領域教師專業進修機會，活化綜合課程教學。</w:t>
            </w:r>
          </w:p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透過共同備課、觀課、議課，達到專業對話目的。</w:t>
            </w:r>
          </w:p>
        </w:tc>
        <w:tc>
          <w:tcPr>
            <w:tcW w:w="851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參與者對於課程滿意程度</w:t>
            </w:r>
          </w:p>
        </w:tc>
        <w:tc>
          <w:tcPr>
            <w:tcW w:w="1559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課程結束填寫課程回饋表</w:t>
            </w:r>
          </w:p>
        </w:tc>
        <w:tc>
          <w:tcPr>
            <w:tcW w:w="850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回饋表</w:t>
            </w:r>
          </w:p>
        </w:tc>
      </w:tr>
      <w:tr w:rsidR="00D406B5" w:rsidRPr="00001D67" w:rsidTr="009C4A12">
        <w:tc>
          <w:tcPr>
            <w:tcW w:w="990" w:type="dxa"/>
            <w:vAlign w:val="center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2129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</w:rPr>
              <w:t>提供不同的教學思維，促進課堂有效教學。</w:t>
            </w:r>
          </w:p>
        </w:tc>
        <w:tc>
          <w:tcPr>
            <w:tcW w:w="2126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透過輔導員公開授課，帶動教學現場教師教學改變策略，體生學生學習成效。</w:t>
            </w:r>
          </w:p>
        </w:tc>
        <w:tc>
          <w:tcPr>
            <w:tcW w:w="851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全程錄影紀錄備課、觀課、議課過程。</w:t>
            </w:r>
          </w:p>
        </w:tc>
        <w:tc>
          <w:tcPr>
            <w:tcW w:w="1559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學生學習結果，包含認知、情意、技能。</w:t>
            </w:r>
          </w:p>
        </w:tc>
        <w:tc>
          <w:tcPr>
            <w:tcW w:w="850" w:type="dxa"/>
          </w:tcPr>
          <w:p w:rsidR="00D406B5" w:rsidRPr="00001D67" w:rsidRDefault="00D406B5" w:rsidP="009C4A12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學習單</w:t>
            </w:r>
          </w:p>
        </w:tc>
      </w:tr>
    </w:tbl>
    <w:p w:rsidR="00EE3529" w:rsidRDefault="00EE3529">
      <w:pPr>
        <w:widowControl/>
      </w:pPr>
    </w:p>
    <w:sectPr w:rsidR="00EE3529" w:rsidSect="00D406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AB" w:rsidRDefault="00F926AB" w:rsidP="00324596">
      <w:r>
        <w:separator/>
      </w:r>
    </w:p>
  </w:endnote>
  <w:endnote w:type="continuationSeparator" w:id="0">
    <w:p w:rsidR="00F926AB" w:rsidRDefault="00F926AB" w:rsidP="0032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AB" w:rsidRDefault="00F926AB" w:rsidP="00324596">
      <w:r>
        <w:separator/>
      </w:r>
    </w:p>
  </w:footnote>
  <w:footnote w:type="continuationSeparator" w:id="0">
    <w:p w:rsidR="00F926AB" w:rsidRDefault="00F926AB" w:rsidP="0032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7D49"/>
    <w:multiLevelType w:val="hybridMultilevel"/>
    <w:tmpl w:val="06E24E3C"/>
    <w:lvl w:ilvl="0" w:tplc="A45CF888">
      <w:start w:val="1"/>
      <w:numFmt w:val="decimal"/>
      <w:lvlText w:val="%1、"/>
      <w:lvlJc w:val="left"/>
      <w:pPr>
        <w:tabs>
          <w:tab w:val="num" w:pos="1184"/>
        </w:tabs>
        <w:ind w:left="1467" w:hanging="283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B5"/>
    <w:rsid w:val="00006A8C"/>
    <w:rsid w:val="00044EB7"/>
    <w:rsid w:val="001276E2"/>
    <w:rsid w:val="0020025A"/>
    <w:rsid w:val="00310AD7"/>
    <w:rsid w:val="00324596"/>
    <w:rsid w:val="003841B5"/>
    <w:rsid w:val="00537157"/>
    <w:rsid w:val="005927D4"/>
    <w:rsid w:val="0065621F"/>
    <w:rsid w:val="006D39DD"/>
    <w:rsid w:val="007F169D"/>
    <w:rsid w:val="0082224B"/>
    <w:rsid w:val="00937471"/>
    <w:rsid w:val="00D36D16"/>
    <w:rsid w:val="00D406B5"/>
    <w:rsid w:val="00D913B4"/>
    <w:rsid w:val="00E8666E"/>
    <w:rsid w:val="00EE3529"/>
    <w:rsid w:val="00F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6B5"/>
    <w:pPr>
      <w:jc w:val="center"/>
    </w:pPr>
    <w:rPr>
      <w:b/>
      <w:bCs/>
      <w:sz w:val="40"/>
    </w:rPr>
  </w:style>
  <w:style w:type="character" w:customStyle="1" w:styleId="a4">
    <w:name w:val="本文 字元"/>
    <w:basedOn w:val="a0"/>
    <w:link w:val="a3"/>
    <w:rsid w:val="00D406B5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32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5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59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6B5"/>
    <w:pPr>
      <w:jc w:val="center"/>
    </w:pPr>
    <w:rPr>
      <w:b/>
      <w:bCs/>
      <w:sz w:val="40"/>
    </w:rPr>
  </w:style>
  <w:style w:type="character" w:customStyle="1" w:styleId="a4">
    <w:name w:val="本文 字元"/>
    <w:basedOn w:val="a0"/>
    <w:link w:val="a3"/>
    <w:rsid w:val="00D406B5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32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5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5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E1ED-F09C-46BB-BCF6-1730E86D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user</cp:lastModifiedBy>
  <cp:revision>2</cp:revision>
  <dcterms:created xsi:type="dcterms:W3CDTF">2016-05-03T05:20:00Z</dcterms:created>
  <dcterms:modified xsi:type="dcterms:W3CDTF">2016-05-03T05:20:00Z</dcterms:modified>
</cp:coreProperties>
</file>