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CC9" w:rsidRDefault="00914CC9" w:rsidP="00471A25">
      <w:pPr>
        <w:pStyle w:val="Default"/>
        <w:spacing w:line="500" w:lineRule="exact"/>
        <w:rPr>
          <w:sz w:val="40"/>
          <w:szCs w:val="40"/>
        </w:rPr>
      </w:pPr>
      <w:r>
        <w:rPr>
          <w:rFonts w:hint="eastAsia"/>
          <w:sz w:val="40"/>
          <w:szCs w:val="40"/>
        </w:rPr>
        <w:t>因應嚴重特殊傳染性肺炎疫情人力運用及辦公場所應變措施檢核表</w:t>
      </w:r>
    </w:p>
    <w:p w:rsidR="00914CC9" w:rsidRDefault="00471A25" w:rsidP="00471A25">
      <w:pPr>
        <w:pStyle w:val="Default"/>
        <w:spacing w:line="5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109.</w:t>
      </w:r>
      <w:r>
        <w:rPr>
          <w:rFonts w:ascii="Times New Roman" w:hAnsi="Times New Roman" w:cs="Times New Roman" w:hint="eastAsia"/>
          <w:b/>
          <w:bCs/>
          <w:sz w:val="20"/>
          <w:szCs w:val="20"/>
        </w:rPr>
        <w:t>3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 w:hint="eastAsia"/>
          <w:b/>
          <w:bCs/>
          <w:sz w:val="20"/>
          <w:szCs w:val="20"/>
        </w:rPr>
        <w:t>02</w:t>
      </w:r>
    </w:p>
    <w:p w:rsidR="00914CC9" w:rsidRDefault="00914CC9" w:rsidP="00471A25">
      <w:pPr>
        <w:pStyle w:val="Default"/>
        <w:spacing w:line="500" w:lineRule="exact"/>
        <w:rPr>
          <w:rFonts w:hAnsi="Times New Roman"/>
          <w:sz w:val="32"/>
          <w:szCs w:val="32"/>
        </w:rPr>
      </w:pPr>
      <w:r>
        <w:rPr>
          <w:rFonts w:hAnsi="Times New Roman" w:hint="eastAsia"/>
          <w:sz w:val="32"/>
          <w:szCs w:val="32"/>
        </w:rPr>
        <w:t>因應嚴重特殊傳染性肺炎（武漢肺炎）疫情變化，為維護公務正常運作，各機關</w:t>
      </w:r>
      <w:r>
        <w:rPr>
          <w:rFonts w:hAnsi="Times New Roman"/>
          <w:sz w:val="32"/>
          <w:szCs w:val="32"/>
        </w:rPr>
        <w:t>(</w:t>
      </w:r>
      <w:r>
        <w:rPr>
          <w:rFonts w:hAnsi="Times New Roman" w:hint="eastAsia"/>
          <w:sz w:val="32"/>
          <w:szCs w:val="32"/>
        </w:rPr>
        <w:t>構</w:t>
      </w:r>
      <w:r>
        <w:rPr>
          <w:rFonts w:hAnsi="Times New Roman"/>
          <w:sz w:val="32"/>
          <w:szCs w:val="32"/>
        </w:rPr>
        <w:t>)</w:t>
      </w:r>
      <w:r>
        <w:rPr>
          <w:rFonts w:hAnsi="Times New Roman" w:hint="eastAsia"/>
          <w:sz w:val="32"/>
          <w:szCs w:val="32"/>
        </w:rPr>
        <w:t>、學校</w:t>
      </w:r>
      <w:r>
        <w:rPr>
          <w:rFonts w:hAnsi="Times New Roman"/>
          <w:sz w:val="32"/>
          <w:szCs w:val="32"/>
        </w:rPr>
        <w:t>(</w:t>
      </w:r>
      <w:r>
        <w:rPr>
          <w:rFonts w:hAnsi="Times New Roman" w:hint="eastAsia"/>
          <w:sz w:val="32"/>
          <w:szCs w:val="32"/>
        </w:rPr>
        <w:t>以下簡稱各機關</w:t>
      </w:r>
      <w:r>
        <w:rPr>
          <w:rFonts w:hAnsi="Times New Roman"/>
          <w:sz w:val="32"/>
          <w:szCs w:val="32"/>
        </w:rPr>
        <w:t>)</w:t>
      </w:r>
      <w:r>
        <w:rPr>
          <w:rFonts w:hAnsi="Times New Roman" w:hint="eastAsia"/>
          <w:sz w:val="32"/>
          <w:szCs w:val="32"/>
        </w:rPr>
        <w:t>宜儘速預為規劃實施人力運用及辦公場所應變措施，在規劃時建議先行確認下列檢核事項：</w:t>
      </w:r>
      <w:r>
        <w:rPr>
          <w:rFonts w:hAnsi="Times New Roman"/>
          <w:sz w:val="32"/>
          <w:szCs w:val="32"/>
        </w:rPr>
        <w:t>(</w:t>
      </w:r>
      <w:r>
        <w:rPr>
          <w:rFonts w:hAnsi="Times New Roman" w:hint="eastAsia"/>
          <w:sz w:val="32"/>
          <w:szCs w:val="32"/>
        </w:rPr>
        <w:t>各機關可視業務需要自行增加檢核事項，各檢核事項可再區分細項</w:t>
      </w:r>
      <w:r>
        <w:rPr>
          <w:rFonts w:hAnsi="Times New Roman"/>
          <w:sz w:val="32"/>
          <w:szCs w:val="32"/>
        </w:rPr>
        <w:t>)</w:t>
      </w:r>
    </w:p>
    <w:p w:rsidR="00914CC9" w:rsidRDefault="00914CC9" w:rsidP="00471A25">
      <w:pPr>
        <w:pStyle w:val="Default"/>
        <w:spacing w:line="500" w:lineRule="exact"/>
        <w:rPr>
          <w:rFonts w:hAnsi="Times New Roman"/>
          <w:sz w:val="32"/>
          <w:szCs w:val="32"/>
        </w:rPr>
      </w:pPr>
      <w:r>
        <w:rPr>
          <w:rFonts w:hAnsi="Times New Roman" w:hint="eastAsia"/>
          <w:sz w:val="32"/>
          <w:szCs w:val="32"/>
        </w:rPr>
        <w:t>一、</w:t>
      </w:r>
      <w:r>
        <w:rPr>
          <w:rFonts w:hAnsi="Times New Roman"/>
          <w:sz w:val="32"/>
          <w:szCs w:val="32"/>
        </w:rPr>
        <w:t xml:space="preserve"> </w:t>
      </w:r>
      <w:r>
        <w:rPr>
          <w:rFonts w:hAnsi="Times New Roman" w:hint="eastAsia"/>
          <w:sz w:val="32"/>
          <w:szCs w:val="32"/>
        </w:rPr>
        <w:t>成立應變小組</w:t>
      </w:r>
    </w:p>
    <w:p w:rsidR="00914CC9" w:rsidRDefault="00135201" w:rsidP="00471A25">
      <w:pPr>
        <w:pStyle w:val="Default"/>
        <w:spacing w:line="500" w:lineRule="exact"/>
        <w:rPr>
          <w:rFonts w:hAnsi="Times New Roman"/>
          <w:sz w:val="32"/>
          <w:szCs w:val="32"/>
        </w:rPr>
      </w:pPr>
      <w:r>
        <w:rPr>
          <w:rFonts w:hAnsi="Times New Roman" w:hint="eastAsia"/>
          <w:sz w:val="32"/>
          <w:szCs w:val="32"/>
        </w:rPr>
        <w:sym w:font="Wingdings 2" w:char="F052"/>
      </w:r>
      <w:r w:rsidR="00914CC9">
        <w:rPr>
          <w:rFonts w:hAnsi="Times New Roman" w:hint="eastAsia"/>
          <w:sz w:val="32"/>
          <w:szCs w:val="32"/>
        </w:rPr>
        <w:t>確立小組分工職掌</w:t>
      </w:r>
    </w:p>
    <w:p w:rsidR="00914CC9" w:rsidRDefault="00135201" w:rsidP="00471A25">
      <w:pPr>
        <w:pStyle w:val="Default"/>
        <w:spacing w:line="500" w:lineRule="exact"/>
        <w:rPr>
          <w:rFonts w:hAnsi="Times New Roman"/>
          <w:sz w:val="32"/>
          <w:szCs w:val="32"/>
        </w:rPr>
      </w:pPr>
      <w:r>
        <w:rPr>
          <w:rFonts w:hAnsi="Times New Roman" w:hint="eastAsia"/>
          <w:sz w:val="32"/>
          <w:szCs w:val="32"/>
        </w:rPr>
        <w:sym w:font="Wingdings 2" w:char="F052"/>
      </w:r>
      <w:r w:rsidR="00914CC9">
        <w:rPr>
          <w:rFonts w:hAnsi="Times New Roman" w:hint="eastAsia"/>
          <w:sz w:val="32"/>
          <w:szCs w:val="32"/>
        </w:rPr>
        <w:t>製作緊急連絡電話表或即時通訊群組</w:t>
      </w:r>
    </w:p>
    <w:p w:rsidR="00914CC9" w:rsidRDefault="00914CC9" w:rsidP="00471A25">
      <w:pPr>
        <w:pStyle w:val="Default"/>
        <w:spacing w:line="500" w:lineRule="exact"/>
        <w:rPr>
          <w:rFonts w:hAnsi="Times New Roman"/>
          <w:sz w:val="32"/>
          <w:szCs w:val="32"/>
        </w:rPr>
      </w:pPr>
      <w:r>
        <w:rPr>
          <w:rFonts w:hAnsi="Times New Roman" w:hint="eastAsia"/>
          <w:sz w:val="32"/>
          <w:szCs w:val="32"/>
        </w:rPr>
        <w:t>二、</w:t>
      </w:r>
      <w:r>
        <w:rPr>
          <w:rFonts w:hAnsi="Times New Roman"/>
          <w:sz w:val="32"/>
          <w:szCs w:val="32"/>
        </w:rPr>
        <w:t xml:space="preserve"> </w:t>
      </w:r>
      <w:r>
        <w:rPr>
          <w:rFonts w:hAnsi="Times New Roman" w:hint="eastAsia"/>
          <w:sz w:val="32"/>
          <w:szCs w:val="32"/>
        </w:rPr>
        <w:t>規劃人力運用</w:t>
      </w:r>
      <w:r>
        <w:rPr>
          <w:rFonts w:hAnsi="Times New Roman"/>
          <w:sz w:val="32"/>
          <w:szCs w:val="32"/>
        </w:rPr>
        <w:t>(</w:t>
      </w:r>
      <w:r>
        <w:rPr>
          <w:rFonts w:hAnsi="Times New Roman" w:hint="eastAsia"/>
          <w:sz w:val="32"/>
          <w:szCs w:val="32"/>
        </w:rPr>
        <w:t>人數不低於機關現有員額</w:t>
      </w:r>
      <w:r>
        <w:rPr>
          <w:rFonts w:ascii="Times New Roman" w:hAnsi="Times New Roman" w:cs="Times New Roman"/>
          <w:sz w:val="32"/>
          <w:szCs w:val="32"/>
        </w:rPr>
        <w:t>2/3</w:t>
      </w:r>
      <w:r>
        <w:rPr>
          <w:rFonts w:hAnsi="Times New Roman" w:hint="eastAsia"/>
          <w:sz w:val="32"/>
          <w:szCs w:val="32"/>
        </w:rPr>
        <w:t>為原則</w:t>
      </w:r>
      <w:r>
        <w:rPr>
          <w:rFonts w:hAnsi="Times New Roman"/>
          <w:sz w:val="32"/>
          <w:szCs w:val="32"/>
        </w:rPr>
        <w:t>)</w:t>
      </w:r>
    </w:p>
    <w:p w:rsidR="00914CC9" w:rsidRDefault="00135201" w:rsidP="00471A25">
      <w:pPr>
        <w:pStyle w:val="Default"/>
        <w:spacing w:line="500" w:lineRule="exact"/>
        <w:rPr>
          <w:rFonts w:hAnsi="Times New Roman"/>
          <w:sz w:val="32"/>
          <w:szCs w:val="32"/>
        </w:rPr>
      </w:pPr>
      <w:r>
        <w:rPr>
          <w:rFonts w:hAnsi="Times New Roman" w:hint="eastAsia"/>
          <w:sz w:val="32"/>
          <w:szCs w:val="32"/>
        </w:rPr>
        <w:sym w:font="Wingdings 2" w:char="F052"/>
      </w:r>
      <w:r w:rsidR="00914CC9">
        <w:rPr>
          <w:rFonts w:hAnsi="Times New Roman" w:hint="eastAsia"/>
          <w:sz w:val="32"/>
          <w:szCs w:val="32"/>
        </w:rPr>
        <w:t>排定職務代理名冊</w:t>
      </w:r>
    </w:p>
    <w:p w:rsidR="00914CC9" w:rsidRDefault="00E86956" w:rsidP="00471A25">
      <w:pPr>
        <w:pStyle w:val="Default"/>
        <w:spacing w:line="500" w:lineRule="exact"/>
        <w:rPr>
          <w:rFonts w:hAnsi="Times New Roman"/>
          <w:sz w:val="32"/>
          <w:szCs w:val="32"/>
        </w:rPr>
      </w:pPr>
      <w:r>
        <w:rPr>
          <w:rFonts w:hAnsi="Times New Roman" w:hint="eastAsia"/>
          <w:sz w:val="32"/>
          <w:szCs w:val="32"/>
        </w:rPr>
        <w:sym w:font="Wingdings 2" w:char="F052"/>
      </w:r>
      <w:r w:rsidR="00914CC9">
        <w:rPr>
          <w:rFonts w:hAnsi="Times New Roman" w:hint="eastAsia"/>
          <w:sz w:val="32"/>
          <w:szCs w:val="32"/>
        </w:rPr>
        <w:t>排定必要及備援人力班表</w:t>
      </w:r>
    </w:p>
    <w:p w:rsidR="00914CC9" w:rsidRDefault="00E86956" w:rsidP="00471A25">
      <w:pPr>
        <w:pStyle w:val="Default"/>
        <w:spacing w:line="500" w:lineRule="exact"/>
        <w:rPr>
          <w:rFonts w:hAnsi="Times New Roman"/>
          <w:sz w:val="32"/>
          <w:szCs w:val="32"/>
        </w:rPr>
      </w:pPr>
      <w:r>
        <w:rPr>
          <w:rFonts w:hAnsi="Times New Roman" w:hint="eastAsia"/>
          <w:sz w:val="32"/>
          <w:szCs w:val="32"/>
        </w:rPr>
        <w:sym w:font="Wingdings 2" w:char="F052"/>
      </w:r>
      <w:r w:rsidR="00914CC9">
        <w:rPr>
          <w:rFonts w:hAnsi="Times New Roman" w:hint="eastAsia"/>
          <w:sz w:val="32"/>
          <w:szCs w:val="32"/>
        </w:rPr>
        <w:t>安排特殊專業性人力輪班替補機制【視機關需要】</w:t>
      </w:r>
    </w:p>
    <w:p w:rsidR="00914CC9" w:rsidRDefault="00E86956" w:rsidP="00471A25">
      <w:pPr>
        <w:pStyle w:val="Default"/>
        <w:spacing w:line="500" w:lineRule="exact"/>
        <w:rPr>
          <w:rFonts w:hAnsi="Times New Roman"/>
          <w:sz w:val="32"/>
          <w:szCs w:val="32"/>
        </w:rPr>
      </w:pPr>
      <w:r>
        <w:rPr>
          <w:rFonts w:hAnsi="Times New Roman" w:hint="eastAsia"/>
          <w:sz w:val="32"/>
          <w:szCs w:val="32"/>
        </w:rPr>
        <w:sym w:font="Wingdings 2" w:char="F052"/>
      </w:r>
      <w:r w:rsidR="00914CC9">
        <w:rPr>
          <w:rFonts w:hAnsi="Times New Roman" w:hint="eastAsia"/>
          <w:sz w:val="32"/>
          <w:szCs w:val="32"/>
        </w:rPr>
        <w:t>盤點核心及可暫緩辦理業務</w:t>
      </w:r>
    </w:p>
    <w:p w:rsidR="00914CC9" w:rsidRDefault="00E86956" w:rsidP="00471A25">
      <w:pPr>
        <w:pStyle w:val="Default"/>
        <w:spacing w:line="500" w:lineRule="exact"/>
        <w:rPr>
          <w:rFonts w:hAnsi="Times New Roman"/>
          <w:sz w:val="32"/>
          <w:szCs w:val="32"/>
        </w:rPr>
      </w:pPr>
      <w:r>
        <w:rPr>
          <w:rFonts w:hAnsi="Times New Roman" w:hint="eastAsia"/>
          <w:sz w:val="32"/>
          <w:szCs w:val="32"/>
        </w:rPr>
        <w:sym w:font="Wingdings 2" w:char="F052"/>
      </w:r>
      <w:r w:rsidR="00914CC9">
        <w:rPr>
          <w:rFonts w:hAnsi="Times New Roman" w:hint="eastAsia"/>
          <w:sz w:val="32"/>
          <w:szCs w:val="32"/>
        </w:rPr>
        <w:t>簡化部分業務工作流程【視機關需要】</w:t>
      </w:r>
    </w:p>
    <w:p w:rsidR="00914CC9" w:rsidRDefault="00914CC9" w:rsidP="00471A25">
      <w:pPr>
        <w:pStyle w:val="Default"/>
        <w:spacing w:line="500" w:lineRule="exact"/>
        <w:rPr>
          <w:rFonts w:hAnsi="Times New Roman"/>
          <w:sz w:val="32"/>
          <w:szCs w:val="32"/>
        </w:rPr>
      </w:pPr>
      <w:r>
        <w:rPr>
          <w:rFonts w:hAnsi="Times New Roman" w:hint="eastAsia"/>
          <w:sz w:val="32"/>
          <w:szCs w:val="32"/>
        </w:rPr>
        <w:t>三、</w:t>
      </w:r>
      <w:r>
        <w:rPr>
          <w:rFonts w:hAnsi="Times New Roman"/>
          <w:sz w:val="32"/>
          <w:szCs w:val="32"/>
        </w:rPr>
        <w:t xml:space="preserve"> </w:t>
      </w:r>
      <w:r>
        <w:rPr>
          <w:rFonts w:hAnsi="Times New Roman" w:hint="eastAsia"/>
          <w:sz w:val="32"/>
          <w:szCs w:val="32"/>
        </w:rPr>
        <w:t>替代場所</w:t>
      </w:r>
      <w:r>
        <w:rPr>
          <w:rFonts w:hAnsi="Times New Roman"/>
          <w:sz w:val="32"/>
          <w:szCs w:val="32"/>
        </w:rPr>
        <w:t>/</w:t>
      </w:r>
      <w:r>
        <w:rPr>
          <w:rFonts w:hAnsi="Times New Roman" w:hint="eastAsia"/>
          <w:sz w:val="32"/>
          <w:szCs w:val="32"/>
        </w:rPr>
        <w:t>分區辦公</w:t>
      </w:r>
    </w:p>
    <w:p w:rsidR="00914CC9" w:rsidRDefault="00E86956" w:rsidP="00471A25">
      <w:pPr>
        <w:pStyle w:val="Default"/>
        <w:spacing w:line="500" w:lineRule="exact"/>
        <w:rPr>
          <w:rFonts w:hAnsi="Times New Roman"/>
          <w:sz w:val="32"/>
          <w:szCs w:val="32"/>
        </w:rPr>
      </w:pPr>
      <w:r>
        <w:rPr>
          <w:rFonts w:hAnsi="Times New Roman" w:hint="eastAsia"/>
          <w:sz w:val="32"/>
          <w:szCs w:val="32"/>
        </w:rPr>
        <w:sym w:font="Wingdings 2" w:char="F052"/>
      </w:r>
      <w:r w:rsidR="00914CC9">
        <w:rPr>
          <w:rFonts w:hAnsi="Times New Roman" w:hint="eastAsia"/>
          <w:sz w:val="32"/>
          <w:szCs w:val="32"/>
        </w:rPr>
        <w:t>確認替代</w:t>
      </w:r>
      <w:r w:rsidR="00914CC9">
        <w:rPr>
          <w:rFonts w:hAnsi="Times New Roman"/>
          <w:sz w:val="32"/>
          <w:szCs w:val="32"/>
        </w:rPr>
        <w:t>/</w:t>
      </w:r>
      <w:r w:rsidR="00914CC9">
        <w:rPr>
          <w:rFonts w:hAnsi="Times New Roman" w:hint="eastAsia"/>
          <w:sz w:val="32"/>
          <w:szCs w:val="32"/>
        </w:rPr>
        <w:t>分區辦公場所</w:t>
      </w:r>
    </w:p>
    <w:p w:rsidR="00914CC9" w:rsidRDefault="00E86956" w:rsidP="00471A25">
      <w:pPr>
        <w:pStyle w:val="Default"/>
        <w:spacing w:line="500" w:lineRule="exact"/>
        <w:rPr>
          <w:rFonts w:hAnsi="Times New Roman"/>
          <w:sz w:val="32"/>
          <w:szCs w:val="32"/>
        </w:rPr>
      </w:pPr>
      <w:r>
        <w:rPr>
          <w:rFonts w:hAnsi="Times New Roman" w:hint="eastAsia"/>
          <w:sz w:val="32"/>
          <w:szCs w:val="32"/>
        </w:rPr>
        <w:sym w:font="Wingdings 2" w:char="F052"/>
      </w:r>
      <w:r w:rsidR="00914CC9">
        <w:rPr>
          <w:rFonts w:hAnsi="Times New Roman" w:hint="eastAsia"/>
          <w:sz w:val="32"/>
          <w:szCs w:val="32"/>
        </w:rPr>
        <w:t>整備替代</w:t>
      </w:r>
      <w:r w:rsidR="00914CC9">
        <w:rPr>
          <w:rFonts w:hAnsi="Times New Roman"/>
          <w:sz w:val="32"/>
          <w:szCs w:val="32"/>
        </w:rPr>
        <w:t>/</w:t>
      </w:r>
      <w:r w:rsidR="00914CC9">
        <w:rPr>
          <w:rFonts w:hAnsi="Times New Roman" w:hint="eastAsia"/>
          <w:sz w:val="32"/>
          <w:szCs w:val="32"/>
        </w:rPr>
        <w:t>分區辦公場所內硬體設施</w:t>
      </w:r>
      <w:r w:rsidR="00914CC9">
        <w:rPr>
          <w:rFonts w:hAnsi="Times New Roman"/>
          <w:sz w:val="32"/>
          <w:szCs w:val="32"/>
        </w:rPr>
        <w:t>(</w:t>
      </w:r>
      <w:r w:rsidR="00914CC9">
        <w:rPr>
          <w:rFonts w:hAnsi="Times New Roman" w:hint="eastAsia"/>
          <w:sz w:val="32"/>
          <w:szCs w:val="32"/>
        </w:rPr>
        <w:t>如電話、傳真等</w:t>
      </w:r>
      <w:r w:rsidR="00914CC9">
        <w:rPr>
          <w:rFonts w:hAnsi="Times New Roman"/>
          <w:sz w:val="32"/>
          <w:szCs w:val="32"/>
        </w:rPr>
        <w:t>)</w:t>
      </w:r>
      <w:r w:rsidR="00914CC9">
        <w:rPr>
          <w:rFonts w:hAnsi="Times New Roman" w:hint="eastAsia"/>
          <w:sz w:val="32"/>
          <w:szCs w:val="32"/>
        </w:rPr>
        <w:t>及資</w:t>
      </w:r>
      <w:r w:rsidR="00914CC9">
        <w:rPr>
          <w:rFonts w:hAnsi="Times New Roman"/>
          <w:sz w:val="32"/>
          <w:szCs w:val="32"/>
        </w:rPr>
        <w:t>(</w:t>
      </w:r>
      <w:r w:rsidR="00914CC9">
        <w:rPr>
          <w:rFonts w:hAnsi="Times New Roman" w:hint="eastAsia"/>
          <w:sz w:val="32"/>
          <w:szCs w:val="32"/>
        </w:rPr>
        <w:t>通</w:t>
      </w:r>
      <w:r w:rsidR="00914CC9">
        <w:rPr>
          <w:rFonts w:hAnsi="Times New Roman"/>
          <w:sz w:val="32"/>
          <w:szCs w:val="32"/>
        </w:rPr>
        <w:t>)</w:t>
      </w:r>
      <w:r w:rsidR="00914CC9">
        <w:rPr>
          <w:rFonts w:hAnsi="Times New Roman" w:hint="eastAsia"/>
          <w:sz w:val="32"/>
          <w:szCs w:val="32"/>
        </w:rPr>
        <w:t>訊設備</w:t>
      </w:r>
      <w:r w:rsidR="00914CC9">
        <w:rPr>
          <w:rFonts w:hAnsi="Times New Roman"/>
          <w:sz w:val="32"/>
          <w:szCs w:val="32"/>
        </w:rPr>
        <w:t>(</w:t>
      </w:r>
      <w:r w:rsidR="00914CC9">
        <w:rPr>
          <w:rFonts w:hAnsi="Times New Roman" w:hint="eastAsia"/>
          <w:sz w:val="32"/>
          <w:szCs w:val="32"/>
        </w:rPr>
        <w:t>如網路、電腦等</w:t>
      </w:r>
      <w:r w:rsidR="00914CC9">
        <w:rPr>
          <w:rFonts w:hAnsi="Times New Roman"/>
          <w:sz w:val="32"/>
          <w:szCs w:val="32"/>
        </w:rPr>
        <w:t>)</w:t>
      </w:r>
      <w:r w:rsidR="00914CC9">
        <w:rPr>
          <w:rFonts w:hAnsi="Times New Roman" w:hint="eastAsia"/>
          <w:sz w:val="32"/>
          <w:szCs w:val="32"/>
        </w:rPr>
        <w:t>，確認可用性</w:t>
      </w:r>
    </w:p>
    <w:p w:rsidR="00914CC9" w:rsidRDefault="00E86956" w:rsidP="00471A25">
      <w:pPr>
        <w:pStyle w:val="Default"/>
        <w:spacing w:line="500" w:lineRule="exact"/>
        <w:rPr>
          <w:rFonts w:hAnsi="Times New Roman"/>
          <w:sz w:val="32"/>
          <w:szCs w:val="32"/>
        </w:rPr>
      </w:pPr>
      <w:r>
        <w:rPr>
          <w:rFonts w:hAnsi="Times New Roman" w:hint="eastAsia"/>
          <w:sz w:val="32"/>
          <w:szCs w:val="32"/>
        </w:rPr>
        <w:sym w:font="Wingdings 2" w:char="F052"/>
      </w:r>
      <w:r w:rsidR="00914CC9">
        <w:rPr>
          <w:rFonts w:hAnsi="Times New Roman" w:hint="eastAsia"/>
          <w:sz w:val="32"/>
          <w:szCs w:val="32"/>
        </w:rPr>
        <w:t>擬定分區辦公名單</w:t>
      </w:r>
      <w:r w:rsidR="00914CC9">
        <w:rPr>
          <w:rFonts w:hAnsi="Times New Roman"/>
          <w:sz w:val="32"/>
          <w:szCs w:val="32"/>
        </w:rPr>
        <w:t>(</w:t>
      </w:r>
      <w:r w:rsidR="00914CC9">
        <w:rPr>
          <w:rFonts w:hAnsi="Times New Roman" w:hint="eastAsia"/>
          <w:sz w:val="32"/>
          <w:szCs w:val="32"/>
        </w:rPr>
        <w:t>正副首長、單位主管及副主管、及各類人員分區辦公</w:t>
      </w:r>
      <w:r w:rsidR="00914CC9">
        <w:rPr>
          <w:rFonts w:hAnsi="Times New Roman"/>
          <w:sz w:val="32"/>
          <w:szCs w:val="32"/>
        </w:rPr>
        <w:t>)</w:t>
      </w:r>
    </w:p>
    <w:p w:rsidR="00914CC9" w:rsidRDefault="00914CC9" w:rsidP="00471A25">
      <w:pPr>
        <w:pStyle w:val="Default"/>
        <w:spacing w:line="500" w:lineRule="exact"/>
        <w:rPr>
          <w:rFonts w:hAnsi="Times New Roman"/>
          <w:sz w:val="32"/>
          <w:szCs w:val="32"/>
        </w:rPr>
      </w:pPr>
      <w:r>
        <w:rPr>
          <w:rFonts w:hAnsi="Times New Roman" w:hint="eastAsia"/>
          <w:sz w:val="32"/>
          <w:szCs w:val="32"/>
        </w:rPr>
        <w:t>四、</w:t>
      </w:r>
      <w:r>
        <w:rPr>
          <w:rFonts w:hAnsi="Times New Roman"/>
          <w:sz w:val="32"/>
          <w:szCs w:val="32"/>
        </w:rPr>
        <w:t xml:space="preserve"> </w:t>
      </w:r>
      <w:r>
        <w:rPr>
          <w:rFonts w:hAnsi="Times New Roman" w:hint="eastAsia"/>
          <w:sz w:val="32"/>
          <w:szCs w:val="32"/>
        </w:rPr>
        <w:t>資料備份</w:t>
      </w:r>
    </w:p>
    <w:p w:rsidR="00914CC9" w:rsidRDefault="00E86956" w:rsidP="00471A25">
      <w:pPr>
        <w:pStyle w:val="Default"/>
        <w:spacing w:line="500" w:lineRule="exact"/>
        <w:rPr>
          <w:rFonts w:hAnsi="Times New Roman"/>
          <w:sz w:val="32"/>
          <w:szCs w:val="32"/>
        </w:rPr>
      </w:pPr>
      <w:r>
        <w:rPr>
          <w:rFonts w:hAnsi="Times New Roman" w:hint="eastAsia"/>
          <w:sz w:val="32"/>
          <w:szCs w:val="32"/>
        </w:rPr>
        <w:sym w:font="Wingdings 2" w:char="F052"/>
      </w:r>
      <w:r w:rsidR="00914CC9">
        <w:rPr>
          <w:rFonts w:hAnsi="Times New Roman" w:hint="eastAsia"/>
          <w:sz w:val="32"/>
          <w:szCs w:val="32"/>
        </w:rPr>
        <w:t>分類案件類型</w:t>
      </w:r>
    </w:p>
    <w:p w:rsidR="00914CC9" w:rsidRDefault="00E86956" w:rsidP="00471A25">
      <w:pPr>
        <w:pStyle w:val="Default"/>
        <w:spacing w:line="500" w:lineRule="exact"/>
        <w:rPr>
          <w:rFonts w:ascii="Calibri" w:hAnsi="Calibri" w:cs="Calibri"/>
          <w:sz w:val="20"/>
          <w:szCs w:val="20"/>
        </w:rPr>
      </w:pPr>
      <w:r>
        <w:rPr>
          <w:rFonts w:hAnsi="Times New Roman" w:hint="eastAsia"/>
          <w:sz w:val="32"/>
          <w:szCs w:val="32"/>
        </w:rPr>
        <w:sym w:font="Wingdings 2" w:char="F052"/>
      </w:r>
      <w:r w:rsidR="00914CC9">
        <w:rPr>
          <w:rFonts w:hAnsi="Times New Roman" w:hint="eastAsia"/>
          <w:sz w:val="32"/>
          <w:szCs w:val="32"/>
        </w:rPr>
        <w:t>確認備份資料存放點</w:t>
      </w:r>
      <w:r w:rsidR="00914CC9">
        <w:rPr>
          <w:rFonts w:ascii="Calibri" w:hAnsi="Calibri" w:cs="Calibri"/>
          <w:sz w:val="20"/>
          <w:szCs w:val="20"/>
        </w:rPr>
        <w:t xml:space="preserve">2 </w:t>
      </w:r>
    </w:p>
    <w:p w:rsidR="00914CC9" w:rsidRPr="00E86956" w:rsidRDefault="00914CC9" w:rsidP="00471A25">
      <w:pPr>
        <w:pStyle w:val="Default"/>
        <w:pageBreakBefore/>
        <w:spacing w:line="500" w:lineRule="exact"/>
        <w:rPr>
          <w:rFonts w:hAnsi="標楷體" w:cstheme="minorBidi"/>
          <w:color w:val="auto"/>
          <w:sz w:val="32"/>
          <w:szCs w:val="32"/>
        </w:rPr>
      </w:pPr>
      <w:r w:rsidRPr="00E86956">
        <w:rPr>
          <w:rFonts w:hAnsi="標楷體" w:cstheme="minorBidi"/>
          <w:color w:val="auto"/>
          <w:sz w:val="32"/>
          <w:szCs w:val="32"/>
        </w:rPr>
        <w:lastRenderedPageBreak/>
        <w:t>另審酌居家辦公亦為保留部分辦公人力，</w:t>
      </w:r>
      <w:bookmarkStart w:id="0" w:name="_GoBack"/>
      <w:bookmarkEnd w:id="0"/>
      <w:r w:rsidRPr="00E86956">
        <w:rPr>
          <w:rFonts w:hAnsi="標楷體" w:cstheme="minorBidi"/>
          <w:color w:val="auto"/>
          <w:sz w:val="32"/>
          <w:szCs w:val="32"/>
        </w:rPr>
        <w:t>維持業務運作的方式之一，各機關可盤點機關業務屬性，評估推動居家辦公的可行性，惟在規劃前建議應確認下列檢核事項：</w:t>
      </w:r>
    </w:p>
    <w:p w:rsidR="00914CC9" w:rsidRPr="00E86956" w:rsidRDefault="00E86956" w:rsidP="00471A25">
      <w:pPr>
        <w:pStyle w:val="Default"/>
        <w:spacing w:line="500" w:lineRule="exact"/>
        <w:rPr>
          <w:rFonts w:hAnsi="標楷體"/>
          <w:color w:val="auto"/>
          <w:sz w:val="32"/>
          <w:szCs w:val="32"/>
        </w:rPr>
      </w:pPr>
      <w:r w:rsidRPr="00E86956">
        <w:rPr>
          <w:rFonts w:hAnsi="標楷體" w:hint="eastAsia"/>
          <w:sz w:val="32"/>
          <w:szCs w:val="32"/>
        </w:rPr>
        <w:sym w:font="Wingdings 2" w:char="F052"/>
      </w:r>
      <w:r w:rsidR="00914CC9" w:rsidRPr="00E86956">
        <w:rPr>
          <w:rFonts w:hAnsi="標楷體" w:cstheme="minorBidi"/>
          <w:color w:val="auto"/>
          <w:sz w:val="32"/>
          <w:szCs w:val="32"/>
        </w:rPr>
        <w:t>盤點適合居家辦公之業務範圍、對象及每日人數(人數不高於機關現有員額</w:t>
      </w:r>
      <w:r w:rsidR="00914CC9" w:rsidRPr="00E86956">
        <w:rPr>
          <w:rFonts w:hAnsi="標楷體" w:cs="Times New Roman"/>
          <w:color w:val="auto"/>
          <w:sz w:val="32"/>
          <w:szCs w:val="32"/>
        </w:rPr>
        <w:t>1/3</w:t>
      </w:r>
      <w:r w:rsidR="00914CC9" w:rsidRPr="00E86956">
        <w:rPr>
          <w:rFonts w:hAnsi="標楷體" w:hint="eastAsia"/>
          <w:color w:val="auto"/>
          <w:sz w:val="32"/>
          <w:szCs w:val="32"/>
        </w:rPr>
        <w:t>為原則</w:t>
      </w:r>
      <w:r w:rsidR="00914CC9" w:rsidRPr="00E86956">
        <w:rPr>
          <w:rFonts w:hAnsi="標楷體"/>
          <w:color w:val="auto"/>
          <w:sz w:val="32"/>
          <w:szCs w:val="32"/>
        </w:rPr>
        <w:t>)</w:t>
      </w:r>
    </w:p>
    <w:p w:rsidR="00914CC9" w:rsidRPr="00E86956" w:rsidRDefault="00E86956" w:rsidP="00471A25">
      <w:pPr>
        <w:pStyle w:val="Default"/>
        <w:spacing w:line="500" w:lineRule="exact"/>
        <w:rPr>
          <w:rFonts w:hAnsi="標楷體"/>
          <w:color w:val="auto"/>
          <w:sz w:val="32"/>
          <w:szCs w:val="32"/>
        </w:rPr>
      </w:pPr>
      <w:r w:rsidRPr="00E86956">
        <w:rPr>
          <w:rFonts w:hAnsi="標楷體" w:hint="eastAsia"/>
          <w:sz w:val="32"/>
          <w:szCs w:val="32"/>
        </w:rPr>
        <w:sym w:font="Wingdings 2" w:char="F052"/>
      </w:r>
      <w:r w:rsidR="00914CC9" w:rsidRPr="00E86956">
        <w:rPr>
          <w:rFonts w:hAnsi="標楷體" w:hint="eastAsia"/>
          <w:color w:val="auto"/>
          <w:sz w:val="32"/>
          <w:szCs w:val="32"/>
        </w:rPr>
        <w:t>訂定工作規範</w:t>
      </w:r>
      <w:r w:rsidR="00914CC9" w:rsidRPr="00E86956">
        <w:rPr>
          <w:rFonts w:hAnsi="標楷體"/>
          <w:color w:val="auto"/>
          <w:sz w:val="32"/>
          <w:szCs w:val="32"/>
        </w:rPr>
        <w:t>(</w:t>
      </w:r>
      <w:r w:rsidR="00914CC9" w:rsidRPr="00E86956">
        <w:rPr>
          <w:rFonts w:hAnsi="標楷體" w:hint="eastAsia"/>
          <w:color w:val="auto"/>
          <w:sz w:val="32"/>
          <w:szCs w:val="32"/>
        </w:rPr>
        <w:t>如每日辦公起訖時間、加班認定方式、工作內容、建立工作紀錄：含工作目標、期程、執行情形等</w:t>
      </w:r>
      <w:r w:rsidR="00914CC9" w:rsidRPr="00E86956">
        <w:rPr>
          <w:rFonts w:hAnsi="標楷體"/>
          <w:color w:val="auto"/>
          <w:sz w:val="32"/>
          <w:szCs w:val="32"/>
        </w:rPr>
        <w:t>)</w:t>
      </w:r>
    </w:p>
    <w:p w:rsidR="00914CC9" w:rsidRPr="00E86956" w:rsidRDefault="00E86956" w:rsidP="00471A25">
      <w:pPr>
        <w:pStyle w:val="Default"/>
        <w:spacing w:line="500" w:lineRule="exact"/>
        <w:rPr>
          <w:rFonts w:hAnsi="標楷體"/>
          <w:color w:val="auto"/>
          <w:sz w:val="32"/>
          <w:szCs w:val="32"/>
        </w:rPr>
      </w:pPr>
      <w:r w:rsidRPr="00E86956">
        <w:rPr>
          <w:rFonts w:hAnsi="標楷體" w:hint="eastAsia"/>
          <w:sz w:val="32"/>
          <w:szCs w:val="32"/>
        </w:rPr>
        <w:sym w:font="Wingdings 2" w:char="F052"/>
      </w:r>
      <w:r w:rsidR="00914CC9" w:rsidRPr="00E86956">
        <w:rPr>
          <w:rFonts w:hAnsi="標楷體" w:hint="eastAsia"/>
          <w:color w:val="auto"/>
          <w:sz w:val="32"/>
          <w:szCs w:val="32"/>
        </w:rPr>
        <w:t>確認實施對象具備所需資</w:t>
      </w:r>
      <w:r w:rsidR="00914CC9" w:rsidRPr="00E86956">
        <w:rPr>
          <w:rFonts w:hAnsi="標楷體"/>
          <w:color w:val="auto"/>
          <w:sz w:val="32"/>
          <w:szCs w:val="32"/>
        </w:rPr>
        <w:t>(</w:t>
      </w:r>
      <w:r w:rsidR="00914CC9" w:rsidRPr="00E86956">
        <w:rPr>
          <w:rFonts w:hAnsi="標楷體" w:hint="eastAsia"/>
          <w:color w:val="auto"/>
          <w:sz w:val="32"/>
          <w:szCs w:val="32"/>
        </w:rPr>
        <w:t>通</w:t>
      </w:r>
      <w:r w:rsidR="00914CC9" w:rsidRPr="00E86956">
        <w:rPr>
          <w:rFonts w:hAnsi="標楷體"/>
          <w:color w:val="auto"/>
          <w:sz w:val="32"/>
          <w:szCs w:val="32"/>
        </w:rPr>
        <w:t>)</w:t>
      </w:r>
      <w:r w:rsidR="00914CC9" w:rsidRPr="00E86956">
        <w:rPr>
          <w:rFonts w:hAnsi="標楷體" w:hint="eastAsia"/>
          <w:color w:val="auto"/>
          <w:sz w:val="32"/>
          <w:szCs w:val="32"/>
        </w:rPr>
        <w:t>訊設備</w:t>
      </w:r>
      <w:r w:rsidR="00914CC9" w:rsidRPr="00E86956">
        <w:rPr>
          <w:rFonts w:hAnsi="標楷體"/>
          <w:color w:val="auto"/>
          <w:sz w:val="32"/>
          <w:szCs w:val="32"/>
        </w:rPr>
        <w:t>(</w:t>
      </w:r>
      <w:r w:rsidR="00914CC9" w:rsidRPr="00E86956">
        <w:rPr>
          <w:rFonts w:hAnsi="標楷體" w:hint="eastAsia"/>
          <w:color w:val="auto"/>
          <w:sz w:val="32"/>
          <w:szCs w:val="32"/>
        </w:rPr>
        <w:t>如網路、電腦等</w:t>
      </w:r>
      <w:r w:rsidR="00914CC9" w:rsidRPr="00E86956">
        <w:rPr>
          <w:rFonts w:hAnsi="標楷體"/>
          <w:color w:val="auto"/>
          <w:sz w:val="32"/>
          <w:szCs w:val="32"/>
        </w:rPr>
        <w:t>)</w:t>
      </w:r>
    </w:p>
    <w:p w:rsidR="00123982" w:rsidRPr="00E86956" w:rsidRDefault="00E86956" w:rsidP="00471A25">
      <w:pPr>
        <w:spacing w:line="500" w:lineRule="exact"/>
        <w:rPr>
          <w:rFonts w:ascii="標楷體" w:eastAsia="標楷體" w:hAnsi="標楷體"/>
        </w:rPr>
      </w:pPr>
      <w:r w:rsidRPr="00E86956">
        <w:rPr>
          <w:rFonts w:ascii="標楷體" w:eastAsia="標楷體" w:hAnsi="標楷體" w:hint="eastAsia"/>
          <w:sz w:val="32"/>
          <w:szCs w:val="32"/>
        </w:rPr>
        <w:sym w:font="Wingdings 2" w:char="F052"/>
      </w:r>
      <w:r w:rsidR="00914CC9" w:rsidRPr="00E86956">
        <w:rPr>
          <w:rFonts w:ascii="標楷體" w:eastAsia="標楷體" w:hAnsi="標楷體" w:hint="eastAsia"/>
          <w:sz w:val="32"/>
          <w:szCs w:val="32"/>
        </w:rPr>
        <w:t>完成實施對象端及機關端之網路資訊傳輸安全機制</w:t>
      </w:r>
      <w:r w:rsidR="00914CC9" w:rsidRPr="00E86956">
        <w:rPr>
          <w:rFonts w:ascii="標楷體" w:eastAsia="標楷體" w:hAnsi="標楷體"/>
          <w:sz w:val="32"/>
          <w:szCs w:val="32"/>
        </w:rPr>
        <w:t>(</w:t>
      </w:r>
      <w:r w:rsidR="00914CC9" w:rsidRPr="00E86956">
        <w:rPr>
          <w:rFonts w:ascii="標楷體" w:eastAsia="標楷體" w:hAnsi="標楷體" w:hint="eastAsia"/>
          <w:sz w:val="32"/>
          <w:szCs w:val="32"/>
        </w:rPr>
        <w:t>如要求公文書加密處理</w:t>
      </w:r>
      <w:r w:rsidR="00914CC9" w:rsidRPr="00E86956">
        <w:rPr>
          <w:rFonts w:ascii="標楷體" w:eastAsia="標楷體" w:hAnsi="標楷體"/>
          <w:sz w:val="32"/>
          <w:szCs w:val="32"/>
        </w:rPr>
        <w:t>)</w:t>
      </w:r>
    </w:p>
    <w:sectPr w:rsidR="00123982" w:rsidRPr="00E869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776"/>
    <w:rsid w:val="00102776"/>
    <w:rsid w:val="00123982"/>
    <w:rsid w:val="00135201"/>
    <w:rsid w:val="00471A25"/>
    <w:rsid w:val="00914CC9"/>
    <w:rsid w:val="00E8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4CC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4CC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2020-03-02T02:33:00Z</dcterms:created>
  <dcterms:modified xsi:type="dcterms:W3CDTF">2020-03-02T03:25:00Z</dcterms:modified>
</cp:coreProperties>
</file>